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AD45" w14:textId="21DA2F23" w:rsidR="00860418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A70C9E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035CAC92" w14:textId="77777777" w:rsidR="0045159F" w:rsidRDefault="0045159F" w:rsidP="0045159F">
      <w:pPr>
        <w:pBdr>
          <w:bottom w:val="single" w:sz="12" w:space="1" w:color="auto"/>
        </w:pBdr>
        <w:rPr>
          <w:b/>
        </w:rPr>
      </w:pPr>
    </w:p>
    <w:p w14:paraId="5B2FD450" w14:textId="690B6A87" w:rsidR="00A70C9E" w:rsidRPr="00196AEB" w:rsidRDefault="0045159F" w:rsidP="00196AEB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RICORSO R</w:t>
      </w:r>
      <w:r w:rsidR="00426011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ICONOSCIMENTO ANNO 2013</w:t>
      </w:r>
      <w:r w:rsidR="002A657C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br/>
        <w:t>Gratuito per gli iscritti alla Federazione UIL Scuola Rua</w:t>
      </w:r>
    </w:p>
    <w:p w14:paraId="52535572" w14:textId="78D76CD5" w:rsidR="00D63664" w:rsidRDefault="00D63664" w:rsidP="00A7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 w:rsidRPr="00D63664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>DESTINATARI:</w:t>
      </w: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 </w:t>
      </w:r>
      <w:r w:rsidR="001A36C5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PERSONALE DOCENTE E ATA</w:t>
      </w:r>
      <w:r w:rsidR="00196AEB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 </w:t>
      </w:r>
    </w:p>
    <w:p w14:paraId="5E3A2B87" w14:textId="77777777" w:rsidR="00196AEB" w:rsidRDefault="00A70C9E" w:rsidP="00A7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</w:pPr>
      <w:r w:rsidRPr="00A70C9E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 xml:space="preserve">PRE REQUISITI:  </w:t>
      </w:r>
    </w:p>
    <w:p w14:paraId="5697E2AD" w14:textId="55314952" w:rsidR="00A70C9E" w:rsidRDefault="00A70C9E" w:rsidP="00196AEB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right="-143"/>
        <w:rPr>
          <w:rFonts w:ascii="Bookman Old Style" w:eastAsia="Arial Unicode MS" w:hAnsi="Bookman Old Style" w:cs="Arial Unicode MS"/>
          <w:b/>
        </w:rPr>
      </w:pPr>
      <w:r w:rsidRPr="00196AEB">
        <w:rPr>
          <w:rFonts w:ascii="Bookman Old Style" w:eastAsia="Arial Unicode MS" w:hAnsi="Bookman Old Style" w:cs="Arial Unicode MS"/>
          <w:b/>
        </w:rPr>
        <w:t>Il ricorrente deve trovarsi in servizio prima dell’anno 2013, con contratto di lavoro a tempo determinato ovvero a tempo indeterminato</w:t>
      </w:r>
    </w:p>
    <w:p w14:paraId="6666DBF9" w14:textId="62853FAE" w:rsidR="00196AEB" w:rsidRDefault="00196AEB" w:rsidP="00196AEB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right="-143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NON deve aver già presentato ricorso in precedenza per il riconoscimento integrale della ricostruzione di carriera</w:t>
      </w:r>
    </w:p>
    <w:p w14:paraId="4F6DEE82" w14:textId="77777777" w:rsidR="00A70C9E" w:rsidRDefault="00A70C9E" w:rsidP="00D63664">
      <w:pPr>
        <w:shd w:val="clear" w:color="auto" w:fill="FFFFFF"/>
        <w:jc w:val="both"/>
        <w:rPr>
          <w:rFonts w:ascii="Bookman Old Style" w:eastAsia="Arial Unicode MS" w:hAnsi="Bookman Old Style" w:cs="Arial Unicode MS"/>
          <w:b/>
          <w:sz w:val="32"/>
          <w:szCs w:val="32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F369ADC" w14:textId="77777777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CDFE628" w14:textId="65A0599F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="00A70C9E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;</w:t>
      </w:r>
    </w:p>
    <w:p w14:paraId="548D464D" w14:textId="6F7EAAE3" w:rsidR="0045159F" w:rsidRPr="00A70C9E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5B7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 </w:t>
      </w:r>
    </w:p>
    <w:p w14:paraId="7DF331C7" w14:textId="3DA6ABCC" w:rsidR="00A70C9E" w:rsidRPr="00A70C9E" w:rsidRDefault="00A70C9E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del decreto di ricostruzione di carriera</w:t>
      </w:r>
    </w:p>
    <w:p w14:paraId="75D493DC" w14:textId="239A2B95" w:rsidR="00A70C9E" w:rsidRPr="00A70C9E" w:rsidRDefault="00A70C9E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ultimi </w:t>
      </w:r>
      <w:proofErr w:type="gramStart"/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3</w:t>
      </w:r>
      <w:proofErr w:type="gramEnd"/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cedolini stipendiali;</w:t>
      </w:r>
    </w:p>
    <w:p w14:paraId="08DCCA01" w14:textId="34C6DCC4" w:rsidR="00A70C9E" w:rsidRDefault="00A70C9E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della diffida trasmessa protocollata o allegando le ricevute di spedizione.</w:t>
      </w:r>
    </w:p>
    <w:p w14:paraId="22D91EC3" w14:textId="77777777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657DD07E" w14:textId="537B7B24" w:rsidR="00A70C9E" w:rsidRPr="0014774E" w:rsidRDefault="00A70C9E" w:rsidP="001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eastAsia="Arial Unicode MS" w:hAnsi="Bookman Old Style" w:cs="Arial Unicode MS"/>
          <w:b/>
          <w:bCs/>
          <w:smallCap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smallCaps/>
          <w:color w:val="000000"/>
          <w:sz w:val="32"/>
          <w:szCs w:val="32"/>
        </w:rPr>
        <w:t xml:space="preserve">Attenzione: </w:t>
      </w:r>
    </w:p>
    <w:p w14:paraId="2481771C" w14:textId="3D66CF2B" w:rsidR="00A70C9E" w:rsidRDefault="001A36C5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T</w:t>
      </w:r>
      <w:r w:rsidR="00A70C9E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utti i documenti devono essere consegnati, singolarmente, in formato PDF dopo averli scansionati e non fotografati. Non sono ammessi formati diversi. </w:t>
      </w:r>
    </w:p>
    <w:p w14:paraId="233722C4" w14:textId="25B9FFA1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Pertanto, dovranno essere consegnati </w:t>
      </w:r>
      <w:r w:rsidR="007359B1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n. 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6 documenti in formato pdf. </w:t>
      </w:r>
    </w:p>
    <w:p w14:paraId="765D2A05" w14:textId="50836001" w:rsidR="00A70C9E" w:rsidRPr="0014774E" w:rsidRDefault="007359B1" w:rsidP="001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TERMINI DI ADESIONE</w:t>
      </w:r>
    </w:p>
    <w:p w14:paraId="3343EC03" w14:textId="31305814" w:rsidR="007359B1" w:rsidRPr="00336EB2" w:rsidRDefault="008E09E2" w:rsidP="0045159F">
      <w:pP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Per motivi organizzativi, in</w:t>
      </w:r>
      <w:r w:rsidR="007359B1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questa prima fase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,</w:t>
      </w:r>
      <w:r w:rsidR="007359B1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la documentazione deve essere consegnata entro la data del 31 marzo 2024. </w:t>
      </w:r>
      <w:r w:rsidR="00336EB2" w:rsidRP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 xml:space="preserve">Nella prima fase di attuazione dei ricorsi verranno privilegiati alcuni tribunali rispetto ad altri </w:t>
      </w:r>
      <w:r w:rsid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-</w:t>
      </w:r>
      <w:r w:rsidR="00336EB2" w:rsidRP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sulla base sia dell’orientamento giurisprudenziale e anche in relazione all’esito delle controversie</w:t>
      </w:r>
      <w:r w:rsid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 xml:space="preserve"> -</w:t>
      </w:r>
      <w:r w:rsidR="00336EB2" w:rsidRPr="00336EB2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 xml:space="preserve"> così da generare una giurisprudenza favorevole in materia.</w:t>
      </w:r>
    </w:p>
    <w:p w14:paraId="1E40367E" w14:textId="4461E4EC" w:rsidR="007359B1" w:rsidRPr="0014774E" w:rsidRDefault="007359B1" w:rsidP="001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MODALITA’ OPERATIVA</w:t>
      </w:r>
    </w:p>
    <w:p w14:paraId="1C17C055" w14:textId="2E07F8E3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I ricorsi dovranno essere presentati presso il Tribunale del Lavoro competente per territorio, pertanto, ogni Struttura territoriale dovrà occuparsi di coordinare il lavoro di raccolta della documentazione. </w:t>
      </w:r>
    </w:p>
    <w:p w14:paraId="66A23DE3" w14:textId="276A8B18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I ricorsi verranno predisposti in stretta collaborazione con l’Ufficio Legale Nazionale con procure rilasciate a “doppio nome” con l’avvocato di riferimento della Struttura Territoriale</w:t>
      </w:r>
      <w:r w:rsidR="001A36C5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/Regionale 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e l’avvocato Domenico Naso.  </w:t>
      </w:r>
    </w:p>
    <w:p w14:paraId="468EE74D" w14:textId="7689B544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Abbiamo, inoltre, strutturato una Segreteria dell’Ufficio Legale che farà da raccordo tra l’Ufficio Legale Nazionale e gli Uffici Legali Territoriali o Regionali curata da </w:t>
      </w:r>
      <w:r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Claudia Gira</w:t>
      </w:r>
      <w:r w:rsidR="008E09E2"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l</w:t>
      </w:r>
      <w:r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di</w:t>
      </w:r>
      <w:r w:rsidR="008E09E2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</w:t>
      </w:r>
      <w:r w:rsidR="008E09E2"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(</w:t>
      </w:r>
      <w:r w:rsidR="002A657C"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328/1134808)</w:t>
      </w:r>
      <w:r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.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</w:t>
      </w:r>
    </w:p>
    <w:p w14:paraId="2441F751" w14:textId="7CE25A48" w:rsidR="008E09E2" w:rsidRDefault="0014774E" w:rsidP="00336EB2">
      <w:pPr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Pertanto, è opportuno comunicare alla seguente mail il nominativo dell’avvocato</w:t>
      </w:r>
      <w:r w:rsidR="00336EB2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(comprensivo di recapiti)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che curerà sul territorio il ricorso</w:t>
      </w:r>
      <w:r w:rsidR="008E09E2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: </w:t>
      </w:r>
      <w:r w:rsidR="008E09E2">
        <w:rPr>
          <w:rFonts w:ascii="Bookman Old Style" w:eastAsia="Arial Unicode MS" w:hAnsi="Bookman Old Style" w:cs="Arial Unicode MS"/>
          <w:color w:val="000000"/>
          <w:sz w:val="32"/>
          <w:szCs w:val="32"/>
        </w:rPr>
        <w:br/>
      </w:r>
      <w:r w:rsidR="008E09E2" w:rsidRPr="002A657C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ufficiolegalenazionale@uilscuola.it</w:t>
      </w:r>
    </w:p>
    <w:p w14:paraId="39D384EC" w14:textId="37173C2D" w:rsidR="0014774E" w:rsidRDefault="008E09E2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Alla stessa mail andranno inviati i documenti necessari per procedere al ricorso.</w:t>
      </w:r>
    </w:p>
    <w:p w14:paraId="2B75A8B9" w14:textId="65E13125" w:rsidR="007359B1" w:rsidRPr="00A25507" w:rsidRDefault="007359B1" w:rsidP="00A2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Risorse Finanziarie</w:t>
      </w:r>
    </w:p>
    <w:p w14:paraId="5198EDCA" w14:textId="3E49A395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La Segretaria Nazionale si occuperà di sostenere i costi del contributo unificato in relazione ai ricorsi presentati.</w:t>
      </w:r>
    </w:p>
    <w:p w14:paraId="31167159" w14:textId="6F21E7CB" w:rsidR="0045159F" w:rsidRDefault="0045159F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3ECE94AB" w14:textId="44E7674B" w:rsidR="0045159F" w:rsidRDefault="0045159F" w:rsidP="0045159F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62A472E" w14:textId="07127D24" w:rsidR="0045159F" w:rsidRDefault="002A657C" w:rsidP="0045159F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Ufficio legale nazionale</w:t>
      </w:r>
    </w:p>
    <w:sectPr w:rsidR="004515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5F18" w14:textId="77777777" w:rsidR="003E190D" w:rsidRDefault="003E190D" w:rsidP="0045159F">
      <w:pPr>
        <w:spacing w:after="0" w:line="240" w:lineRule="auto"/>
      </w:pPr>
      <w:r>
        <w:separator/>
      </w:r>
    </w:p>
  </w:endnote>
  <w:endnote w:type="continuationSeparator" w:id="0">
    <w:p w14:paraId="11F445CC" w14:textId="77777777" w:rsidR="003E190D" w:rsidRDefault="003E190D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88D3" w14:textId="77777777" w:rsidR="003E190D" w:rsidRDefault="003E190D" w:rsidP="0045159F">
      <w:pPr>
        <w:spacing w:after="0" w:line="240" w:lineRule="auto"/>
      </w:pPr>
      <w:r>
        <w:separator/>
      </w:r>
    </w:p>
  </w:footnote>
  <w:footnote w:type="continuationSeparator" w:id="0">
    <w:p w14:paraId="243C8895" w14:textId="77777777" w:rsidR="003E190D" w:rsidRDefault="003E190D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AD36" w14:textId="2AFC500F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033950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 </w:t>
    </w:r>
  </w:p>
  <w:p w14:paraId="2DE6EA9B" w14:textId="64EE49BA" w:rsidR="0045159F" w:rsidRDefault="002A657C">
    <w:pPr>
      <w:pStyle w:val="Intestazione"/>
    </w:pPr>
    <w:r>
      <w:rPr>
        <w:noProof/>
      </w:rPr>
      <w:drawing>
        <wp:inline distT="0" distB="0" distL="0" distR="0" wp14:anchorId="248F50EB" wp14:editId="0C8F8469">
          <wp:extent cx="2419350" cy="809625"/>
          <wp:effectExtent l="0" t="0" r="0" b="9525"/>
          <wp:docPr id="1" name="Immagine 1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1E45" w14:textId="64DBA7FA" w:rsidR="0045159F" w:rsidRDefault="0045159F" w:rsidP="0045159F">
    <w:pPr>
      <w:pStyle w:val="Intestazione"/>
      <w:rPr>
        <w:b/>
      </w:rPr>
    </w:pPr>
    <w:r>
      <w:rPr>
        <w:b/>
      </w:rPr>
      <w:t xml:space="preserve">UFFICIO LEGALE </w:t>
    </w:r>
    <w:r w:rsidR="002A657C">
      <w:rPr>
        <w:b/>
      </w:rPr>
      <w:t>NAZIONALE</w:t>
    </w:r>
  </w:p>
  <w:p w14:paraId="4DFFF207" w14:textId="755184AA" w:rsidR="0045159F" w:rsidRDefault="0045159F">
    <w:pPr>
      <w:pStyle w:val="Intestazione"/>
    </w:pPr>
    <w:r>
      <w:t xml:space="preserve">Avv. Domenico Naso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6AF"/>
    <w:multiLevelType w:val="hybridMultilevel"/>
    <w:tmpl w:val="C5248DE2"/>
    <w:lvl w:ilvl="0" w:tplc="B16ABA3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" w15:restartNumberingAfterBreak="0">
    <w:nsid w:val="29710186"/>
    <w:multiLevelType w:val="hybridMultilevel"/>
    <w:tmpl w:val="5B30C806"/>
    <w:lvl w:ilvl="0" w:tplc="63E4888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02E1B"/>
    <w:multiLevelType w:val="hybridMultilevel"/>
    <w:tmpl w:val="1B0E6204"/>
    <w:lvl w:ilvl="0" w:tplc="1504B01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C55DDD"/>
    <w:multiLevelType w:val="hybridMultilevel"/>
    <w:tmpl w:val="72349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11603">
    <w:abstractNumId w:val="2"/>
  </w:num>
  <w:num w:numId="2" w16cid:durableId="532227288">
    <w:abstractNumId w:val="1"/>
  </w:num>
  <w:num w:numId="3" w16cid:durableId="1265579214">
    <w:abstractNumId w:val="6"/>
  </w:num>
  <w:num w:numId="4" w16cid:durableId="1751149412">
    <w:abstractNumId w:val="7"/>
  </w:num>
  <w:num w:numId="5" w16cid:durableId="1786851913">
    <w:abstractNumId w:val="8"/>
  </w:num>
  <w:num w:numId="6" w16cid:durableId="1650747574">
    <w:abstractNumId w:val="4"/>
  </w:num>
  <w:num w:numId="7" w16cid:durableId="1815295370">
    <w:abstractNumId w:val="9"/>
  </w:num>
  <w:num w:numId="8" w16cid:durableId="1858621188">
    <w:abstractNumId w:val="5"/>
  </w:num>
  <w:num w:numId="9" w16cid:durableId="2071421310">
    <w:abstractNumId w:val="0"/>
  </w:num>
  <w:num w:numId="10" w16cid:durableId="521668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40DA9"/>
    <w:rsid w:val="0005482C"/>
    <w:rsid w:val="0014774E"/>
    <w:rsid w:val="00196AEB"/>
    <w:rsid w:val="001A36C5"/>
    <w:rsid w:val="001A57A3"/>
    <w:rsid w:val="00202337"/>
    <w:rsid w:val="002A657C"/>
    <w:rsid w:val="00315B73"/>
    <w:rsid w:val="003178EB"/>
    <w:rsid w:val="00336EB2"/>
    <w:rsid w:val="003E190D"/>
    <w:rsid w:val="004228FF"/>
    <w:rsid w:val="00426011"/>
    <w:rsid w:val="0045159F"/>
    <w:rsid w:val="00490A9F"/>
    <w:rsid w:val="005342DC"/>
    <w:rsid w:val="006846A1"/>
    <w:rsid w:val="006A2002"/>
    <w:rsid w:val="00714D06"/>
    <w:rsid w:val="007359B1"/>
    <w:rsid w:val="0077723A"/>
    <w:rsid w:val="00860418"/>
    <w:rsid w:val="008E09E2"/>
    <w:rsid w:val="008F23B9"/>
    <w:rsid w:val="009E0E7D"/>
    <w:rsid w:val="00A25507"/>
    <w:rsid w:val="00A70C9E"/>
    <w:rsid w:val="00AE5D0E"/>
    <w:rsid w:val="00B2001E"/>
    <w:rsid w:val="00B46733"/>
    <w:rsid w:val="00B5377F"/>
    <w:rsid w:val="00BC6585"/>
    <w:rsid w:val="00C4466B"/>
    <w:rsid w:val="00D55C06"/>
    <w:rsid w:val="00D63664"/>
    <w:rsid w:val="00DC2D72"/>
    <w:rsid w:val="00EC3D1D"/>
    <w:rsid w:val="00F533E0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21</cp:revision>
  <cp:lastPrinted>2024-02-13T11:51:00Z</cp:lastPrinted>
  <dcterms:created xsi:type="dcterms:W3CDTF">2021-03-07T18:22:00Z</dcterms:created>
  <dcterms:modified xsi:type="dcterms:W3CDTF">2024-02-19T07:24:00Z</dcterms:modified>
</cp:coreProperties>
</file>