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EC6C9" w14:textId="472921DB" w:rsidR="0045159F" w:rsidRDefault="0045159F" w:rsidP="0045159F">
      <w:pPr>
        <w:jc w:val="center"/>
        <w:rPr>
          <w:rStyle w:val="Enfasigrassetto"/>
          <w:rFonts w:ascii="Bradley Hand ITC" w:hAnsi="Bradley Hand ITC"/>
          <w:sz w:val="40"/>
          <w:szCs w:val="40"/>
        </w:rPr>
      </w:pPr>
      <w:r>
        <w:rPr>
          <w:rStyle w:val="Enfasigrassetto"/>
          <w:rFonts w:ascii="Bradley Hand ITC" w:hAnsi="Bradley Hand ITC"/>
          <w:sz w:val="40"/>
          <w:szCs w:val="40"/>
        </w:rPr>
        <w:t>NOTA INFORMATIVA</w:t>
      </w:r>
    </w:p>
    <w:p w14:paraId="1004AD45" w14:textId="2FC5819F" w:rsidR="00860418" w:rsidRDefault="00860418" w:rsidP="0045159F">
      <w:pPr>
        <w:jc w:val="center"/>
        <w:rPr>
          <w:rStyle w:val="Enfasigrassetto"/>
          <w:rFonts w:ascii="Bradley Hand ITC" w:hAnsi="Bradley Hand ITC"/>
          <w:sz w:val="40"/>
          <w:szCs w:val="40"/>
        </w:rPr>
      </w:pPr>
      <w:r>
        <w:rPr>
          <w:rStyle w:val="Enfasigrassetto"/>
          <w:rFonts w:ascii="Bradley Hand ITC" w:hAnsi="Bradley Hand ITC"/>
          <w:sz w:val="40"/>
          <w:szCs w:val="40"/>
        </w:rPr>
        <w:t xml:space="preserve">VERTENZA </w:t>
      </w:r>
    </w:p>
    <w:p w14:paraId="5E32E295" w14:textId="2BBC5D95" w:rsidR="00767A93" w:rsidRDefault="0045159F" w:rsidP="00767A93">
      <w:pPr>
        <w:pBdr>
          <w:top w:val="single" w:sz="4" w:space="1" w:color="auto"/>
          <w:left w:val="single" w:sz="4" w:space="4" w:color="auto"/>
          <w:bottom w:val="single" w:sz="4" w:space="1" w:color="auto"/>
          <w:right w:val="single" w:sz="4" w:space="4" w:color="auto"/>
          <w:between w:val="single" w:sz="4" w:space="1" w:color="auto"/>
          <w:bar w:val="single" w:sz="4" w:color="auto"/>
        </w:pBdr>
        <w:rPr>
          <w:b/>
          <w:color w:val="FF0000"/>
        </w:rPr>
      </w:pPr>
      <w:r>
        <w:rPr>
          <w:b/>
          <w:color w:val="FF0000"/>
        </w:rPr>
        <w:t xml:space="preserve">RICORSO PERSONALE DOCENTE </w:t>
      </w:r>
      <w:r w:rsidR="007F102E">
        <w:rPr>
          <w:b/>
          <w:color w:val="FF0000"/>
        </w:rPr>
        <w:t xml:space="preserve">PRECARIO “ </w:t>
      </w:r>
      <w:r w:rsidR="00B521AF">
        <w:rPr>
          <w:b/>
          <w:color w:val="FF0000"/>
        </w:rPr>
        <w:t>MONETIZZAZIONE FERIE NON GODUTE</w:t>
      </w:r>
      <w:r w:rsidR="007F102E">
        <w:rPr>
          <w:b/>
          <w:color w:val="FF0000"/>
        </w:rPr>
        <w:t>”</w:t>
      </w:r>
    </w:p>
    <w:p w14:paraId="5C4ED803" w14:textId="27B92763" w:rsidR="0045159F" w:rsidRDefault="0017573D" w:rsidP="0017573D">
      <w:pPr>
        <w:pStyle w:val="Paragrafoelenco"/>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rFonts w:ascii="Arial" w:hAnsi="Arial" w:cs="Arial"/>
          <w:sz w:val="24"/>
          <w:szCs w:val="24"/>
        </w:rPr>
        <w:t xml:space="preserve"> </w:t>
      </w:r>
      <w:r w:rsidR="007F102E">
        <w:rPr>
          <w:b/>
          <w:color w:val="FF0000"/>
        </w:rPr>
        <w:t xml:space="preserve">“ </w:t>
      </w:r>
      <w:r w:rsidR="00B521AF" w:rsidRPr="00625327">
        <w:rPr>
          <w:b/>
          <w:caps/>
          <w:color w:val="FF0000"/>
          <w:sz w:val="28"/>
          <w:szCs w:val="28"/>
        </w:rPr>
        <w:t>Le ferie non fruite dai precari vanno pagate</w:t>
      </w:r>
      <w:r w:rsidR="007F102E">
        <w:rPr>
          <w:b/>
          <w:color w:val="FF0000"/>
        </w:rPr>
        <w:t>”</w:t>
      </w:r>
    </w:p>
    <w:p w14:paraId="40E3222A" w14:textId="77777777" w:rsidR="0045159F" w:rsidRDefault="0045159F" w:rsidP="0045159F">
      <w:pPr>
        <w:pBdr>
          <w:bottom w:val="single" w:sz="12" w:space="1" w:color="auto"/>
        </w:pBdr>
        <w:ind w:left="-208"/>
        <w:rPr>
          <w:b/>
        </w:rPr>
      </w:pPr>
    </w:p>
    <w:p w14:paraId="3608716F" w14:textId="7652D948" w:rsidR="007F102E" w:rsidRDefault="007F102E" w:rsidP="007F102E">
      <w:pPr>
        <w:autoSpaceDE w:val="0"/>
        <w:autoSpaceDN w:val="0"/>
        <w:adjustRightInd w:val="0"/>
        <w:spacing w:after="0" w:line="240" w:lineRule="auto"/>
        <w:rPr>
          <w:rFonts w:ascii="Garamond" w:hAnsi="Garamond" w:cs="Garamond"/>
          <w:sz w:val="30"/>
          <w:szCs w:val="30"/>
        </w:rPr>
      </w:pPr>
      <w:r>
        <w:rPr>
          <w:rFonts w:ascii="Garamond-Bold" w:hAnsi="Garamond-Bold" w:cs="Garamond-Bold"/>
          <w:b/>
          <w:bCs/>
          <w:sz w:val="26"/>
          <w:szCs w:val="26"/>
        </w:rPr>
        <w:t xml:space="preserve">Per </w:t>
      </w:r>
      <w:r w:rsidR="00B521AF">
        <w:rPr>
          <w:rFonts w:ascii="Garamond-Bold" w:hAnsi="Garamond-Bold" w:cs="Garamond-Bold"/>
          <w:b/>
          <w:bCs/>
          <w:sz w:val="26"/>
          <w:szCs w:val="26"/>
        </w:rPr>
        <w:t>la Corte di Cassazione e la Corte di Giustizia Europea il personale docente precario ha diritto ad ottenere la monetizzazione delle ferie non godute</w:t>
      </w:r>
      <w:r>
        <w:rPr>
          <w:rFonts w:ascii="Garamond-Bold" w:hAnsi="Garamond-Bold" w:cs="Garamond-Bold"/>
          <w:b/>
          <w:bCs/>
          <w:sz w:val="26"/>
          <w:szCs w:val="26"/>
        </w:rPr>
        <w:t xml:space="preserve"> </w:t>
      </w:r>
    </w:p>
    <w:p w14:paraId="7CF48231" w14:textId="77777777" w:rsidR="007F102E" w:rsidRDefault="007F102E" w:rsidP="007F102E">
      <w:pPr>
        <w:autoSpaceDE w:val="0"/>
        <w:autoSpaceDN w:val="0"/>
        <w:adjustRightInd w:val="0"/>
        <w:spacing w:after="0" w:line="240" w:lineRule="auto"/>
        <w:rPr>
          <w:rFonts w:ascii="Garamond" w:hAnsi="Garamond" w:cs="Garamond"/>
          <w:sz w:val="30"/>
          <w:szCs w:val="30"/>
        </w:rPr>
      </w:pPr>
    </w:p>
    <w:p w14:paraId="0B7B6ECF" w14:textId="3637BAF9" w:rsidR="00B521AF" w:rsidRDefault="00B521AF" w:rsidP="007F102E">
      <w:pPr>
        <w:autoSpaceDE w:val="0"/>
        <w:autoSpaceDN w:val="0"/>
        <w:adjustRightInd w:val="0"/>
        <w:spacing w:after="0" w:line="240" w:lineRule="auto"/>
        <w:jc w:val="both"/>
        <w:rPr>
          <w:rFonts w:ascii="Garamond" w:hAnsi="Garamond" w:cs="Garamond"/>
          <w:sz w:val="30"/>
          <w:szCs w:val="30"/>
        </w:rPr>
      </w:pPr>
      <w:r>
        <w:rPr>
          <w:rFonts w:ascii="Garamond" w:hAnsi="Garamond" w:cs="Garamond"/>
          <w:sz w:val="30"/>
          <w:szCs w:val="30"/>
        </w:rPr>
        <w:t>L</w:t>
      </w:r>
      <w:r w:rsidRPr="00B521AF">
        <w:rPr>
          <w:rFonts w:ascii="Garamond" w:hAnsi="Garamond" w:cs="Garamond"/>
          <w:sz w:val="30"/>
          <w:szCs w:val="30"/>
        </w:rPr>
        <w:t>a Corte di Cassazione nel 2022 con la sentenza n. 21780</w:t>
      </w:r>
      <w:r>
        <w:rPr>
          <w:rFonts w:ascii="Garamond" w:hAnsi="Garamond" w:cs="Garamond"/>
          <w:sz w:val="30"/>
          <w:szCs w:val="30"/>
        </w:rPr>
        <w:t xml:space="preserve"> </w:t>
      </w:r>
      <w:r w:rsidRPr="00B521AF">
        <w:rPr>
          <w:rFonts w:ascii="Garamond" w:hAnsi="Garamond" w:cs="Garamond"/>
          <w:sz w:val="30"/>
          <w:szCs w:val="30"/>
        </w:rPr>
        <w:t xml:space="preserve">ha affermato che grava sul dirigente scolastico l’obbligo di un duplice avviso all’insegnante o Ata precario che non ha fruito dei giorni di ferie: da un lato, infatti, lo stesso dirigente deve invitare, formalmente e in modo accurato, il lavoratore a fruire dei giorni di ferie maturati e ancora non goduti; dall’altro lato, sempre il preside deve informare il docente o Ata che “la mancata fruizione delle ferie maturate determinerà che tali ferie andranno perse alla cessazione del rapporto di lavoro”. È chiaro che, ha detto ancora la Cassazione, se il </w:t>
      </w:r>
      <w:r>
        <w:rPr>
          <w:rFonts w:ascii="Garamond" w:hAnsi="Garamond" w:cs="Garamond"/>
          <w:sz w:val="30"/>
          <w:szCs w:val="30"/>
        </w:rPr>
        <w:t>Dirigente Scolastico</w:t>
      </w:r>
      <w:r w:rsidRPr="00B521AF">
        <w:rPr>
          <w:rFonts w:ascii="Garamond" w:hAnsi="Garamond" w:cs="Garamond"/>
          <w:sz w:val="30"/>
          <w:szCs w:val="30"/>
        </w:rPr>
        <w:t xml:space="preserve"> non ha invece preallertato formalmente il dipendente a tempo determinato, questi conserverà il diritto all’indennità sostitutiva delle ferie maturate residue non utilizzate e tale diritto si prescrive solo dopo 10 anni dalla stipula del contratto a termine</w:t>
      </w:r>
      <w:r>
        <w:rPr>
          <w:rFonts w:ascii="Garamond" w:hAnsi="Garamond" w:cs="Garamond"/>
          <w:sz w:val="30"/>
          <w:szCs w:val="30"/>
        </w:rPr>
        <w:t>.</w:t>
      </w:r>
    </w:p>
    <w:p w14:paraId="71C7CB6D" w14:textId="14703EDF" w:rsidR="00625327" w:rsidRPr="00625327" w:rsidRDefault="00B521AF" w:rsidP="00625327">
      <w:pPr>
        <w:autoSpaceDE w:val="0"/>
        <w:autoSpaceDN w:val="0"/>
        <w:adjustRightInd w:val="0"/>
        <w:spacing w:after="0" w:line="240" w:lineRule="auto"/>
        <w:jc w:val="both"/>
        <w:rPr>
          <w:rFonts w:ascii="Garamond" w:hAnsi="Garamond" w:cs="Garamond"/>
          <w:sz w:val="30"/>
          <w:szCs w:val="30"/>
        </w:rPr>
      </w:pPr>
      <w:r>
        <w:rPr>
          <w:rFonts w:ascii="Garamond" w:hAnsi="Garamond" w:cs="Garamond"/>
          <w:sz w:val="30"/>
          <w:szCs w:val="30"/>
        </w:rPr>
        <w:t>Recentemente, sul punto, si è espressa la Corte di Giustizia Europea</w:t>
      </w:r>
      <w:r w:rsidR="00625327">
        <w:rPr>
          <w:rFonts w:ascii="Garamond" w:hAnsi="Garamond" w:cs="Garamond"/>
          <w:sz w:val="30"/>
          <w:szCs w:val="30"/>
        </w:rPr>
        <w:t>.</w:t>
      </w:r>
    </w:p>
    <w:p w14:paraId="18D41C25" w14:textId="7DBE0D53" w:rsidR="00625327" w:rsidRPr="00625327" w:rsidRDefault="00625327" w:rsidP="00625327">
      <w:pPr>
        <w:autoSpaceDE w:val="0"/>
        <w:autoSpaceDN w:val="0"/>
        <w:adjustRightInd w:val="0"/>
        <w:spacing w:after="0" w:line="240" w:lineRule="auto"/>
        <w:jc w:val="both"/>
        <w:rPr>
          <w:rFonts w:ascii="Garamond" w:hAnsi="Garamond" w:cs="Garamond"/>
          <w:sz w:val="30"/>
          <w:szCs w:val="30"/>
        </w:rPr>
      </w:pPr>
      <w:r>
        <w:rPr>
          <w:rFonts w:ascii="Garamond" w:hAnsi="Garamond" w:cs="Garamond"/>
          <w:sz w:val="30"/>
          <w:szCs w:val="30"/>
        </w:rPr>
        <w:t>La corte, proseguendo nella propria</w:t>
      </w:r>
      <w:r w:rsidRPr="00625327">
        <w:rPr>
          <w:rFonts w:ascii="Garamond" w:hAnsi="Garamond" w:cs="Garamond"/>
          <w:sz w:val="30"/>
          <w:szCs w:val="30"/>
        </w:rPr>
        <w:t xml:space="preserve"> costante giurisprudenza </w:t>
      </w:r>
      <w:r>
        <w:rPr>
          <w:rFonts w:ascii="Garamond" w:hAnsi="Garamond" w:cs="Garamond"/>
          <w:sz w:val="30"/>
          <w:szCs w:val="30"/>
        </w:rPr>
        <w:t>ha ritenuto che</w:t>
      </w:r>
      <w:r w:rsidRPr="00625327">
        <w:rPr>
          <w:rFonts w:ascii="Garamond" w:hAnsi="Garamond" w:cs="Garamond"/>
          <w:sz w:val="30"/>
          <w:szCs w:val="30"/>
        </w:rPr>
        <w:t xml:space="preserve"> il diritto di ogni lavoratore alle ferie annuali retribuite è un principio particolarmente importante del diritto sociale dell’Unione europea, al quale non si può derogare</w:t>
      </w:r>
      <w:r w:rsidR="00893FBC">
        <w:rPr>
          <w:rFonts w:ascii="Garamond" w:hAnsi="Garamond" w:cs="Garamond"/>
          <w:sz w:val="30"/>
          <w:szCs w:val="30"/>
        </w:rPr>
        <w:t>.</w:t>
      </w:r>
    </w:p>
    <w:p w14:paraId="7505E95D" w14:textId="1D4C27CB" w:rsidR="00625327" w:rsidRPr="00625327" w:rsidRDefault="00625327" w:rsidP="00625327">
      <w:pPr>
        <w:autoSpaceDE w:val="0"/>
        <w:autoSpaceDN w:val="0"/>
        <w:adjustRightInd w:val="0"/>
        <w:spacing w:after="0" w:line="240" w:lineRule="auto"/>
        <w:jc w:val="both"/>
        <w:rPr>
          <w:rFonts w:ascii="Garamond" w:hAnsi="Garamond" w:cs="Garamond"/>
          <w:sz w:val="30"/>
          <w:szCs w:val="30"/>
        </w:rPr>
      </w:pPr>
      <w:r w:rsidRPr="00625327">
        <w:rPr>
          <w:rFonts w:ascii="Garamond" w:hAnsi="Garamond" w:cs="Garamond"/>
          <w:sz w:val="30"/>
          <w:szCs w:val="30"/>
        </w:rPr>
        <w:t>La norma</w:t>
      </w:r>
      <w:r w:rsidR="00893FBC">
        <w:rPr>
          <w:rFonts w:ascii="Garamond" w:hAnsi="Garamond" w:cs="Garamond"/>
          <w:sz w:val="30"/>
          <w:szCs w:val="30"/>
        </w:rPr>
        <w:t>tiva europea</w:t>
      </w:r>
      <w:r w:rsidRPr="00625327">
        <w:rPr>
          <w:rFonts w:ascii="Garamond" w:hAnsi="Garamond" w:cs="Garamond"/>
          <w:sz w:val="30"/>
          <w:szCs w:val="30"/>
        </w:rPr>
        <w:t xml:space="preserve"> </w:t>
      </w:r>
      <w:r w:rsidR="00893FBC">
        <w:rPr>
          <w:rFonts w:ascii="Garamond" w:hAnsi="Garamond" w:cs="Garamond"/>
          <w:sz w:val="30"/>
          <w:szCs w:val="30"/>
        </w:rPr>
        <w:t>stabilisce</w:t>
      </w:r>
      <w:r w:rsidRPr="00625327">
        <w:rPr>
          <w:rFonts w:ascii="Garamond" w:hAnsi="Garamond" w:cs="Garamond"/>
          <w:sz w:val="30"/>
          <w:szCs w:val="30"/>
        </w:rPr>
        <w:t xml:space="preserve"> che il diritto alle ferie annuali retribuite </w:t>
      </w:r>
      <w:r w:rsidR="00893FBC">
        <w:rPr>
          <w:rFonts w:ascii="Garamond" w:hAnsi="Garamond" w:cs="Garamond"/>
          <w:sz w:val="30"/>
          <w:szCs w:val="30"/>
        </w:rPr>
        <w:t>è un</w:t>
      </w:r>
      <w:r w:rsidRPr="00625327">
        <w:rPr>
          <w:rFonts w:ascii="Garamond" w:hAnsi="Garamond" w:cs="Garamond"/>
          <w:sz w:val="30"/>
          <w:szCs w:val="30"/>
        </w:rPr>
        <w:t xml:space="preserve"> principio fondamentale del diritto sociale dell’Unione</w:t>
      </w:r>
      <w:r w:rsidR="00893FBC">
        <w:rPr>
          <w:rFonts w:ascii="Garamond" w:hAnsi="Garamond" w:cs="Garamond"/>
          <w:sz w:val="30"/>
          <w:szCs w:val="30"/>
        </w:rPr>
        <w:t>. T</w:t>
      </w:r>
      <w:r w:rsidRPr="00625327">
        <w:rPr>
          <w:rFonts w:ascii="Garamond" w:hAnsi="Garamond" w:cs="Garamond"/>
          <w:sz w:val="30"/>
          <w:szCs w:val="30"/>
        </w:rPr>
        <w:t>ale diritto include anche il diritto a ottenere un’indennità finanziaria per le ferie annuali non godute al momento della cessazione del rapporto di lavoro</w:t>
      </w:r>
      <w:r w:rsidR="00893FBC">
        <w:rPr>
          <w:rFonts w:ascii="Garamond" w:hAnsi="Garamond" w:cs="Garamond"/>
          <w:sz w:val="30"/>
          <w:szCs w:val="30"/>
        </w:rPr>
        <w:t>.</w:t>
      </w:r>
    </w:p>
    <w:p w14:paraId="07163725" w14:textId="1FB2864E" w:rsidR="00625327" w:rsidRPr="00625327" w:rsidRDefault="00893FBC" w:rsidP="00625327">
      <w:pPr>
        <w:autoSpaceDE w:val="0"/>
        <w:autoSpaceDN w:val="0"/>
        <w:adjustRightInd w:val="0"/>
        <w:spacing w:after="0" w:line="240" w:lineRule="auto"/>
        <w:jc w:val="both"/>
        <w:rPr>
          <w:rFonts w:ascii="Garamond" w:hAnsi="Garamond" w:cs="Garamond"/>
          <w:sz w:val="30"/>
          <w:szCs w:val="30"/>
        </w:rPr>
      </w:pPr>
      <w:r>
        <w:rPr>
          <w:rFonts w:ascii="Garamond" w:hAnsi="Garamond" w:cs="Garamond"/>
          <w:sz w:val="30"/>
          <w:szCs w:val="30"/>
        </w:rPr>
        <w:t>La</w:t>
      </w:r>
      <w:r w:rsidR="00625327" w:rsidRPr="00625327">
        <w:rPr>
          <w:rFonts w:ascii="Garamond" w:hAnsi="Garamond" w:cs="Garamond"/>
          <w:sz w:val="30"/>
          <w:szCs w:val="30"/>
        </w:rPr>
        <w:t xml:space="preserve"> normativa nazionale, quindi, non </w:t>
      </w:r>
      <w:r>
        <w:rPr>
          <w:rFonts w:ascii="Garamond" w:hAnsi="Garamond" w:cs="Garamond"/>
          <w:sz w:val="30"/>
          <w:szCs w:val="30"/>
        </w:rPr>
        <w:t>può</w:t>
      </w:r>
      <w:r w:rsidR="00625327" w:rsidRPr="00625327">
        <w:rPr>
          <w:rFonts w:ascii="Garamond" w:hAnsi="Garamond" w:cs="Garamond"/>
          <w:sz w:val="30"/>
          <w:szCs w:val="30"/>
        </w:rPr>
        <w:t xml:space="preserve"> prevedere che, al momento della cessazione del rapporto di lavoro, non sia versata alcuna indennità finanziaria per ferie annuali retribuite non godute al lavoratore che non sia stato in condizione di </w:t>
      </w:r>
      <w:r w:rsidR="00625327" w:rsidRPr="00625327">
        <w:rPr>
          <w:rFonts w:ascii="Garamond" w:hAnsi="Garamond" w:cs="Garamond"/>
          <w:sz w:val="30"/>
          <w:szCs w:val="30"/>
        </w:rPr>
        <w:lastRenderedPageBreak/>
        <w:t xml:space="preserve">fruire di tutte le ferie annuali cui aveva diritto prima della cessazione di tale rapporto di lavoro. </w:t>
      </w:r>
    </w:p>
    <w:p w14:paraId="3B3441B3" w14:textId="508DCE6E" w:rsidR="0017573D" w:rsidRDefault="00893FBC" w:rsidP="00767A93">
      <w:pPr>
        <w:shd w:val="clear" w:color="auto" w:fill="FFFFFF"/>
        <w:jc w:val="both"/>
        <w:rPr>
          <w:rFonts w:ascii="Garamond" w:hAnsi="Garamond" w:cs="Garamond"/>
          <w:b/>
          <w:bCs/>
          <w:sz w:val="30"/>
          <w:szCs w:val="30"/>
        </w:rPr>
      </w:pPr>
      <w:r>
        <w:rPr>
          <w:rFonts w:ascii="Garamond" w:hAnsi="Garamond" w:cs="Garamond"/>
          <w:sz w:val="30"/>
          <w:szCs w:val="30"/>
        </w:rPr>
        <w:t xml:space="preserve">Pertanto, sulla base della costante giurisprudenza </w:t>
      </w:r>
      <w:r w:rsidRPr="00893FBC">
        <w:rPr>
          <w:rFonts w:ascii="Garamond" w:hAnsi="Garamond" w:cs="Garamond"/>
          <w:b/>
          <w:bCs/>
          <w:sz w:val="30"/>
          <w:szCs w:val="30"/>
        </w:rPr>
        <w:t>il personale precario ha diritto ad ottenere la monetizzazione delle ferie non godute.</w:t>
      </w:r>
    </w:p>
    <w:p w14:paraId="56634A19" w14:textId="2AC47995" w:rsidR="00893FBC" w:rsidRDefault="00005E25" w:rsidP="00767A93">
      <w:pPr>
        <w:shd w:val="clear" w:color="auto" w:fill="FFFFFF"/>
        <w:jc w:val="both"/>
        <w:rPr>
          <w:rFonts w:ascii="Bookman Old Style" w:eastAsia="Arial Unicode MS" w:hAnsi="Bookman Old Style" w:cs="Arial Unicode MS"/>
          <w:color w:val="373737"/>
          <w:sz w:val="32"/>
          <w:szCs w:val="32"/>
          <w:shd w:val="clear" w:color="auto" w:fill="FFFFFF"/>
        </w:rPr>
      </w:pPr>
      <w:r>
        <w:rPr>
          <w:rFonts w:ascii="Bookman Old Style" w:eastAsia="Arial Unicode MS" w:hAnsi="Bookman Old Style" w:cs="Arial Unicode MS"/>
          <w:b/>
          <w:bCs/>
          <w:color w:val="FF0000"/>
          <w:sz w:val="32"/>
          <w:szCs w:val="32"/>
          <w:u w:val="single"/>
        </w:rPr>
        <w:t>L’avvio del</w:t>
      </w:r>
      <w:r w:rsidRPr="002C3A9C">
        <w:rPr>
          <w:rFonts w:ascii="Bookman Old Style" w:eastAsia="Arial Unicode MS" w:hAnsi="Bookman Old Style" w:cs="Arial Unicode MS"/>
          <w:b/>
          <w:bCs/>
          <w:color w:val="FF0000"/>
          <w:sz w:val="32"/>
          <w:szCs w:val="32"/>
          <w:u w:val="single"/>
        </w:rPr>
        <w:t xml:space="preserve"> </w:t>
      </w:r>
      <w:r>
        <w:rPr>
          <w:rFonts w:ascii="Bookman Old Style" w:eastAsia="Arial Unicode MS" w:hAnsi="Bookman Old Style" w:cs="Arial Unicode MS"/>
          <w:b/>
          <w:bCs/>
          <w:color w:val="FF0000"/>
          <w:sz w:val="32"/>
          <w:szCs w:val="32"/>
          <w:u w:val="single"/>
        </w:rPr>
        <w:t>r</w:t>
      </w:r>
      <w:r w:rsidRPr="002C3A9C">
        <w:rPr>
          <w:rFonts w:ascii="Bookman Old Style" w:eastAsia="Arial Unicode MS" w:hAnsi="Bookman Old Style" w:cs="Arial Unicode MS"/>
          <w:b/>
          <w:bCs/>
          <w:color w:val="FF0000"/>
          <w:sz w:val="32"/>
          <w:szCs w:val="32"/>
          <w:u w:val="single"/>
        </w:rPr>
        <w:t>icorso non prevede alcun costo</w:t>
      </w:r>
      <w:r>
        <w:rPr>
          <w:rFonts w:ascii="Bookman Old Style" w:eastAsia="Arial Unicode MS" w:hAnsi="Bookman Old Style" w:cs="Arial Unicode MS"/>
          <w:b/>
          <w:bCs/>
          <w:color w:val="FF0000"/>
          <w:sz w:val="32"/>
          <w:szCs w:val="32"/>
          <w:u w:val="single"/>
        </w:rPr>
        <w:t xml:space="preserve">. Gli onorari </w:t>
      </w:r>
      <w:proofErr w:type="spellStart"/>
      <w:r>
        <w:rPr>
          <w:rFonts w:ascii="Bookman Old Style" w:eastAsia="Arial Unicode MS" w:hAnsi="Bookman Old Style" w:cs="Arial Unicode MS"/>
          <w:b/>
          <w:bCs/>
          <w:color w:val="FF0000"/>
          <w:sz w:val="32"/>
          <w:szCs w:val="32"/>
          <w:u w:val="single"/>
        </w:rPr>
        <w:t>verrano</w:t>
      </w:r>
      <w:proofErr w:type="spellEnd"/>
      <w:r>
        <w:rPr>
          <w:rFonts w:ascii="Bookman Old Style" w:eastAsia="Arial Unicode MS" w:hAnsi="Bookman Old Style" w:cs="Arial Unicode MS"/>
          <w:b/>
          <w:bCs/>
          <w:color w:val="FF0000"/>
          <w:sz w:val="32"/>
          <w:szCs w:val="32"/>
          <w:u w:val="single"/>
        </w:rPr>
        <w:t xml:space="preserve"> corrisposti solamente in caso di esito positivo del ricorso </w:t>
      </w:r>
      <w:r w:rsidRPr="00005E25">
        <w:rPr>
          <w:rFonts w:ascii="Bookman Old Style" w:eastAsia="Arial Unicode MS" w:hAnsi="Bookman Old Style" w:cs="Arial Unicode MS"/>
          <w:b/>
          <w:bCs/>
          <w:color w:val="FF0000"/>
          <w:sz w:val="32"/>
          <w:szCs w:val="32"/>
          <w:u w:val="single"/>
        </w:rPr>
        <w:t xml:space="preserve">in base al vantaggio economico complessivamente raggiunto dal ricorrente, in relazione al pagamento degli arretrati maturati (success </w:t>
      </w:r>
      <w:proofErr w:type="spellStart"/>
      <w:r w:rsidRPr="00005E25">
        <w:rPr>
          <w:rFonts w:ascii="Bookman Old Style" w:eastAsia="Arial Unicode MS" w:hAnsi="Bookman Old Style" w:cs="Arial Unicode MS"/>
          <w:b/>
          <w:bCs/>
          <w:color w:val="FF0000"/>
          <w:sz w:val="32"/>
          <w:szCs w:val="32"/>
          <w:u w:val="single"/>
        </w:rPr>
        <w:t>fee</w:t>
      </w:r>
      <w:proofErr w:type="spellEnd"/>
      <w:r>
        <w:rPr>
          <w:rFonts w:ascii="Bookman Old Style" w:eastAsia="Arial Unicode MS" w:hAnsi="Bookman Old Style" w:cs="Arial Unicode MS"/>
          <w:b/>
          <w:bCs/>
          <w:color w:val="FF0000"/>
          <w:sz w:val="32"/>
          <w:szCs w:val="32"/>
          <w:u w:val="single"/>
        </w:rPr>
        <w:t>)</w:t>
      </w:r>
    </w:p>
    <w:p w14:paraId="2BF83217" w14:textId="77777777" w:rsidR="00767A93" w:rsidRDefault="00767A93" w:rsidP="00767A93">
      <w:pPr>
        <w:pBdr>
          <w:top w:val="single" w:sz="4" w:space="1" w:color="auto"/>
          <w:left w:val="single" w:sz="4" w:space="4" w:color="auto"/>
          <w:bottom w:val="single" w:sz="4" w:space="1" w:color="auto"/>
          <w:right w:val="single" w:sz="4" w:space="4" w:color="auto"/>
        </w:pBdr>
        <w:shd w:val="clear" w:color="auto" w:fill="FFFFFF"/>
        <w:jc w:val="both"/>
        <w:rPr>
          <w:rFonts w:ascii="Bookman Old Style" w:eastAsia="Arial Unicode MS" w:hAnsi="Bookman Old Style" w:cs="Arial Unicode MS"/>
          <w:b/>
          <w:color w:val="373737"/>
          <w:sz w:val="32"/>
          <w:szCs w:val="32"/>
          <w:shd w:val="clear" w:color="auto" w:fill="FFFFFF"/>
        </w:rPr>
      </w:pPr>
    </w:p>
    <w:p w14:paraId="6BA66B41" w14:textId="77777777" w:rsidR="00767A93" w:rsidRDefault="00767A93" w:rsidP="00767A93">
      <w:pPr>
        <w:pBdr>
          <w:top w:val="single" w:sz="4" w:space="1" w:color="auto"/>
          <w:left w:val="single" w:sz="4" w:space="4" w:color="auto"/>
          <w:bottom w:val="single" w:sz="4" w:space="1" w:color="auto"/>
          <w:right w:val="single" w:sz="4" w:space="4" w:color="auto"/>
        </w:pBdr>
        <w:shd w:val="clear" w:color="auto" w:fill="FFFFFF"/>
        <w:jc w:val="both"/>
        <w:rPr>
          <w:rFonts w:ascii="Bookman Old Style" w:eastAsia="Arial Unicode MS" w:hAnsi="Bookman Old Style" w:cs="Arial Unicode MS"/>
          <w:b/>
          <w:color w:val="373737"/>
          <w:sz w:val="32"/>
          <w:szCs w:val="32"/>
          <w:shd w:val="clear" w:color="auto" w:fill="FFFFFF"/>
        </w:rPr>
      </w:pPr>
      <w:r>
        <w:rPr>
          <w:rFonts w:ascii="Bookman Old Style" w:eastAsia="Arial Unicode MS" w:hAnsi="Bookman Old Style" w:cs="Arial Unicode MS"/>
          <w:b/>
          <w:color w:val="373737"/>
          <w:sz w:val="32"/>
          <w:szCs w:val="32"/>
          <w:shd w:val="clear" w:color="auto" w:fill="FFFFFF"/>
        </w:rPr>
        <w:t>I documenti necessari per procedere con il ricorso:</w:t>
      </w:r>
    </w:p>
    <w:p w14:paraId="6A6D80B7" w14:textId="77777777" w:rsidR="00767A93" w:rsidRDefault="00767A93" w:rsidP="00767A93">
      <w:pPr>
        <w:pBdr>
          <w:top w:val="single" w:sz="4" w:space="1" w:color="auto"/>
          <w:left w:val="single" w:sz="4" w:space="4" w:color="auto"/>
          <w:bottom w:val="single" w:sz="4" w:space="1" w:color="auto"/>
          <w:right w:val="single" w:sz="4" w:space="4" w:color="auto"/>
        </w:pBdr>
        <w:shd w:val="clear" w:color="auto" w:fill="FFFFFF"/>
        <w:jc w:val="both"/>
        <w:rPr>
          <w:rFonts w:ascii="Bookman Old Style" w:eastAsia="Arial Unicode MS" w:hAnsi="Bookman Old Style" w:cs="Arial Unicode MS"/>
          <w:b/>
          <w:color w:val="373737"/>
          <w:sz w:val="32"/>
          <w:szCs w:val="32"/>
          <w:shd w:val="clear" w:color="auto" w:fill="FFFFFF"/>
        </w:rPr>
      </w:pPr>
    </w:p>
    <w:p w14:paraId="05EFE019" w14:textId="77777777" w:rsidR="00767A93" w:rsidRDefault="00767A93" w:rsidP="00767A93">
      <w:pPr>
        <w:shd w:val="clear" w:color="auto" w:fill="FFFFFF"/>
        <w:jc w:val="both"/>
        <w:rPr>
          <w:rFonts w:ascii="Bookman Old Style" w:eastAsia="Arial Unicode MS" w:hAnsi="Bookman Old Style" w:cs="Arial Unicode MS"/>
          <w:color w:val="373737"/>
          <w:sz w:val="32"/>
          <w:szCs w:val="32"/>
          <w:shd w:val="clear" w:color="auto" w:fill="FFFFFF"/>
        </w:rPr>
      </w:pPr>
    </w:p>
    <w:p w14:paraId="5E74DCF9" w14:textId="77777777" w:rsidR="00767A93" w:rsidRDefault="00767A93" w:rsidP="00767A93">
      <w:pPr>
        <w:numPr>
          <w:ilvl w:val="0"/>
          <w:numId w:val="4"/>
        </w:numPr>
        <w:shd w:val="clear" w:color="auto" w:fill="FFFFFF"/>
        <w:tabs>
          <w:tab w:val="clear" w:pos="720"/>
          <w:tab w:val="num" w:pos="993"/>
        </w:tabs>
        <w:spacing w:after="0" w:line="240" w:lineRule="auto"/>
        <w:jc w:val="both"/>
        <w:rPr>
          <w:rFonts w:ascii="Bookman Old Style" w:eastAsia="Arial Unicode MS" w:hAnsi="Bookman Old Style" w:cs="Arial Unicode MS"/>
          <w:color w:val="222222"/>
          <w:sz w:val="32"/>
          <w:szCs w:val="32"/>
        </w:rPr>
      </w:pPr>
      <w:bookmarkStart w:id="0" w:name="OLE_LINK294"/>
      <w:bookmarkStart w:id="1" w:name="OLE_LINK295"/>
      <w:bookmarkStart w:id="2" w:name="OLE_LINK296"/>
      <w:bookmarkStart w:id="3" w:name="OLE_LINK297"/>
      <w:r w:rsidRPr="003178EB">
        <w:rPr>
          <w:rFonts w:ascii="Bookman Old Style" w:eastAsia="Arial Unicode MS" w:hAnsi="Bookman Old Style" w:cs="Arial Unicode MS"/>
          <w:b/>
          <w:bCs/>
          <w:color w:val="373737"/>
          <w:sz w:val="32"/>
          <w:szCs w:val="32"/>
          <w:shd w:val="clear" w:color="auto" w:fill="FFFFFF"/>
        </w:rPr>
        <w:t>C</w:t>
      </w:r>
      <w:bookmarkEnd w:id="0"/>
      <w:bookmarkEnd w:id="1"/>
      <w:bookmarkEnd w:id="2"/>
      <w:bookmarkEnd w:id="3"/>
      <w:r w:rsidRPr="003178EB">
        <w:rPr>
          <w:rFonts w:ascii="Bookman Old Style" w:eastAsia="Arial Unicode MS" w:hAnsi="Bookman Old Style" w:cs="Arial Unicode MS"/>
          <w:b/>
          <w:bCs/>
          <w:color w:val="373737"/>
          <w:sz w:val="32"/>
          <w:szCs w:val="32"/>
          <w:shd w:val="clear" w:color="auto" w:fill="FFFFFF"/>
        </w:rPr>
        <w:t>opia di un documento di riconoscimento</w:t>
      </w:r>
      <w:r>
        <w:rPr>
          <w:rFonts w:ascii="Bookman Old Style" w:eastAsia="Arial Unicode MS" w:hAnsi="Bookman Old Style" w:cs="Arial Unicode MS"/>
          <w:color w:val="373737"/>
          <w:sz w:val="32"/>
          <w:szCs w:val="32"/>
          <w:shd w:val="clear" w:color="auto" w:fill="FFFFFF"/>
        </w:rPr>
        <w:t xml:space="preserve">; </w:t>
      </w:r>
    </w:p>
    <w:p w14:paraId="444E17A5" w14:textId="77777777" w:rsidR="00767A93" w:rsidRDefault="00767A93" w:rsidP="00767A93">
      <w:pPr>
        <w:numPr>
          <w:ilvl w:val="0"/>
          <w:numId w:val="4"/>
        </w:numPr>
        <w:shd w:val="clear" w:color="auto" w:fill="FFFFFF"/>
        <w:tabs>
          <w:tab w:val="clear" w:pos="720"/>
          <w:tab w:val="num" w:pos="993"/>
        </w:tabs>
        <w:spacing w:after="0" w:line="240" w:lineRule="auto"/>
        <w:jc w:val="both"/>
        <w:rPr>
          <w:rFonts w:ascii="Bookman Old Style" w:eastAsia="Arial Unicode MS" w:hAnsi="Bookman Old Style" w:cs="Arial Unicode MS"/>
          <w:color w:val="222222"/>
          <w:sz w:val="32"/>
          <w:szCs w:val="32"/>
        </w:rPr>
      </w:pPr>
      <w:r w:rsidRPr="003178EB">
        <w:rPr>
          <w:rFonts w:ascii="Bookman Old Style" w:eastAsia="Arial Unicode MS" w:hAnsi="Bookman Old Style" w:cs="Arial Unicode MS"/>
          <w:b/>
          <w:bCs/>
          <w:color w:val="373737"/>
          <w:sz w:val="32"/>
          <w:szCs w:val="32"/>
          <w:shd w:val="clear" w:color="auto" w:fill="FFFFFF"/>
        </w:rPr>
        <w:t>Procura alle liti</w:t>
      </w:r>
      <w:r>
        <w:rPr>
          <w:rFonts w:ascii="Bookman Old Style" w:eastAsia="Arial Unicode MS" w:hAnsi="Bookman Old Style" w:cs="Arial Unicode MS"/>
          <w:color w:val="373737"/>
          <w:sz w:val="32"/>
          <w:szCs w:val="32"/>
          <w:shd w:val="clear" w:color="auto" w:fill="FFFFFF"/>
        </w:rPr>
        <w:t xml:space="preserve"> (vedi doc. allegata)</w:t>
      </w:r>
    </w:p>
    <w:p w14:paraId="02EDF0F5" w14:textId="77777777" w:rsidR="00767A93" w:rsidRPr="002C3A9C" w:rsidRDefault="00767A93" w:rsidP="00767A93">
      <w:pPr>
        <w:numPr>
          <w:ilvl w:val="0"/>
          <w:numId w:val="4"/>
        </w:numPr>
        <w:shd w:val="clear" w:color="auto" w:fill="FFFFFF"/>
        <w:tabs>
          <w:tab w:val="clear" w:pos="720"/>
          <w:tab w:val="num" w:pos="993"/>
        </w:tabs>
        <w:spacing w:after="0" w:line="240" w:lineRule="auto"/>
        <w:jc w:val="both"/>
        <w:rPr>
          <w:rFonts w:ascii="Bookman Old Style" w:eastAsia="Arial Unicode MS" w:hAnsi="Bookman Old Style" w:cs="Arial Unicode MS"/>
          <w:color w:val="222222"/>
          <w:sz w:val="32"/>
          <w:szCs w:val="32"/>
        </w:rPr>
      </w:pPr>
      <w:r w:rsidRPr="00767A93">
        <w:rPr>
          <w:rFonts w:ascii="Bookman Old Style" w:eastAsia="Arial Unicode MS" w:hAnsi="Bookman Old Style" w:cs="Arial Unicode MS"/>
          <w:b/>
          <w:bCs/>
          <w:color w:val="373737"/>
          <w:sz w:val="32"/>
          <w:szCs w:val="32"/>
          <w:shd w:val="clear" w:color="auto" w:fill="FFFFFF"/>
        </w:rPr>
        <w:t>Privacy</w:t>
      </w:r>
      <w:r>
        <w:rPr>
          <w:rFonts w:ascii="Bookman Old Style" w:eastAsia="Arial Unicode MS" w:hAnsi="Bookman Old Style" w:cs="Arial Unicode MS"/>
          <w:color w:val="373737"/>
          <w:sz w:val="32"/>
          <w:szCs w:val="32"/>
          <w:shd w:val="clear" w:color="auto" w:fill="FFFFFF"/>
        </w:rPr>
        <w:t xml:space="preserve">  (vedi doc. allegata) ;  </w:t>
      </w:r>
    </w:p>
    <w:p w14:paraId="277DC2AE" w14:textId="72F3FFF4" w:rsidR="002C3A9C" w:rsidRDefault="002C3A9C" w:rsidP="00767A93">
      <w:pPr>
        <w:numPr>
          <w:ilvl w:val="0"/>
          <w:numId w:val="4"/>
        </w:numPr>
        <w:shd w:val="clear" w:color="auto" w:fill="FFFFFF"/>
        <w:tabs>
          <w:tab w:val="clear" w:pos="720"/>
          <w:tab w:val="num" w:pos="993"/>
        </w:tabs>
        <w:spacing w:after="0" w:line="240" w:lineRule="auto"/>
        <w:jc w:val="both"/>
        <w:rPr>
          <w:rFonts w:ascii="Bookman Old Style" w:eastAsia="Arial Unicode MS" w:hAnsi="Bookman Old Style" w:cs="Arial Unicode MS"/>
          <w:color w:val="222222"/>
          <w:sz w:val="32"/>
          <w:szCs w:val="32"/>
        </w:rPr>
      </w:pPr>
      <w:r>
        <w:rPr>
          <w:rFonts w:ascii="Bookman Old Style" w:eastAsia="Arial Unicode MS" w:hAnsi="Bookman Old Style" w:cs="Arial Unicode MS"/>
          <w:b/>
          <w:bCs/>
          <w:color w:val="373737"/>
          <w:sz w:val="32"/>
          <w:szCs w:val="32"/>
          <w:shd w:val="clear" w:color="auto" w:fill="FFFFFF"/>
        </w:rPr>
        <w:t>Compenso professionale</w:t>
      </w:r>
      <w:r w:rsidR="00005E25">
        <w:rPr>
          <w:rFonts w:ascii="Bookman Old Style" w:eastAsia="Arial Unicode MS" w:hAnsi="Bookman Old Style" w:cs="Arial Unicode MS"/>
          <w:b/>
          <w:bCs/>
          <w:color w:val="373737"/>
          <w:sz w:val="32"/>
          <w:szCs w:val="32"/>
          <w:shd w:val="clear" w:color="auto" w:fill="FFFFFF"/>
        </w:rPr>
        <w:t xml:space="preserve"> </w:t>
      </w:r>
      <w:r w:rsidR="00005E25">
        <w:rPr>
          <w:rFonts w:ascii="Bookman Old Style" w:eastAsia="Arial Unicode MS" w:hAnsi="Bookman Old Style" w:cs="Arial Unicode MS"/>
          <w:color w:val="373737"/>
          <w:sz w:val="32"/>
          <w:szCs w:val="32"/>
          <w:shd w:val="clear" w:color="auto" w:fill="FFFFFF"/>
        </w:rPr>
        <w:t>(vedi doc. allegata)</w:t>
      </w:r>
      <w:r>
        <w:rPr>
          <w:rFonts w:ascii="Bookman Old Style" w:eastAsia="Arial Unicode MS" w:hAnsi="Bookman Old Style" w:cs="Arial Unicode MS"/>
          <w:b/>
          <w:bCs/>
          <w:color w:val="373737"/>
          <w:sz w:val="32"/>
          <w:szCs w:val="32"/>
          <w:shd w:val="clear" w:color="auto" w:fill="FFFFFF"/>
        </w:rPr>
        <w:t>;</w:t>
      </w:r>
    </w:p>
    <w:p w14:paraId="7D419C93" w14:textId="77777777" w:rsidR="00767A93" w:rsidRPr="00005E25" w:rsidRDefault="00767A93" w:rsidP="00767A93">
      <w:pPr>
        <w:numPr>
          <w:ilvl w:val="0"/>
          <w:numId w:val="4"/>
        </w:numPr>
        <w:shd w:val="clear" w:color="auto" w:fill="FFFFFF"/>
        <w:tabs>
          <w:tab w:val="clear" w:pos="720"/>
          <w:tab w:val="num" w:pos="993"/>
        </w:tabs>
        <w:spacing w:after="0" w:line="240" w:lineRule="auto"/>
        <w:ind w:left="993" w:hanging="633"/>
        <w:jc w:val="both"/>
        <w:rPr>
          <w:rFonts w:ascii="Bookman Old Style" w:eastAsia="Arial Unicode MS" w:hAnsi="Bookman Old Style" w:cs="Arial Unicode MS"/>
          <w:color w:val="222222"/>
          <w:sz w:val="32"/>
          <w:szCs w:val="32"/>
        </w:rPr>
      </w:pPr>
      <w:r w:rsidRPr="00714D06">
        <w:rPr>
          <w:rFonts w:ascii="Bookman Old Style" w:eastAsia="Arial Unicode MS" w:hAnsi="Bookman Old Style" w:cs="Arial Unicode MS"/>
          <w:b/>
          <w:bCs/>
          <w:color w:val="373737"/>
          <w:sz w:val="32"/>
          <w:szCs w:val="32"/>
          <w:shd w:val="clear" w:color="auto" w:fill="FFFFFF"/>
        </w:rPr>
        <w:t>Dichiarazione di esenzione per il pagamento del contributo unificato</w:t>
      </w:r>
      <w:r>
        <w:rPr>
          <w:rFonts w:ascii="Bookman Old Style" w:eastAsia="Arial Unicode MS" w:hAnsi="Bookman Old Style" w:cs="Arial Unicode MS"/>
          <w:color w:val="373737"/>
          <w:sz w:val="32"/>
          <w:szCs w:val="32"/>
          <w:shd w:val="clear" w:color="auto" w:fill="FFFFFF"/>
        </w:rPr>
        <w:t xml:space="preserve"> </w:t>
      </w:r>
      <w:r w:rsidRPr="003178EB">
        <w:rPr>
          <w:rFonts w:ascii="Bookman Old Style" w:eastAsia="Arial Unicode MS" w:hAnsi="Bookman Old Style" w:cs="Arial Unicode MS"/>
          <w:b/>
          <w:bCs/>
          <w:color w:val="373737"/>
          <w:sz w:val="32"/>
          <w:szCs w:val="32"/>
          <w:shd w:val="clear" w:color="auto" w:fill="FFFFFF"/>
        </w:rPr>
        <w:t xml:space="preserve">N.B. </w:t>
      </w:r>
      <w:r w:rsidRPr="00714D06">
        <w:rPr>
          <w:rFonts w:ascii="Bookman Old Style" w:eastAsia="Arial Unicode MS" w:hAnsi="Bookman Old Style" w:cs="Arial Unicode MS"/>
          <w:i/>
          <w:color w:val="373737"/>
          <w:sz w:val="32"/>
          <w:szCs w:val="32"/>
          <w:shd w:val="clear" w:color="auto" w:fill="FFFFFF"/>
        </w:rPr>
        <w:t>in caso si superi il reddito la dichiarazione dovrà essere sbarrata e non compilata</w:t>
      </w:r>
      <w:r>
        <w:rPr>
          <w:rFonts w:ascii="Bookman Old Style" w:eastAsia="Arial Unicode MS" w:hAnsi="Bookman Old Style" w:cs="Arial Unicode MS"/>
          <w:i/>
          <w:color w:val="373737"/>
          <w:sz w:val="32"/>
          <w:szCs w:val="32"/>
          <w:shd w:val="clear" w:color="auto" w:fill="FFFFFF"/>
        </w:rPr>
        <w:t xml:space="preserve"> </w:t>
      </w:r>
      <w:r>
        <w:rPr>
          <w:rFonts w:ascii="Bookman Old Style" w:eastAsia="Arial Unicode MS" w:hAnsi="Bookman Old Style" w:cs="Arial Unicode MS"/>
          <w:color w:val="373737"/>
          <w:sz w:val="32"/>
          <w:szCs w:val="32"/>
          <w:shd w:val="clear" w:color="auto" w:fill="FFFFFF"/>
        </w:rPr>
        <w:t>(vedi doc. allegata)</w:t>
      </w:r>
      <w:r w:rsidRPr="00A3043A">
        <w:rPr>
          <w:rFonts w:ascii="Bookman Old Style" w:eastAsia="Arial Unicode MS" w:hAnsi="Bookman Old Style" w:cs="Arial Unicode MS"/>
          <w:color w:val="373737"/>
          <w:sz w:val="32"/>
          <w:szCs w:val="32"/>
          <w:shd w:val="clear" w:color="auto" w:fill="FFFFFF"/>
        </w:rPr>
        <w:t xml:space="preserve">; </w:t>
      </w:r>
    </w:p>
    <w:p w14:paraId="4339DEC6" w14:textId="3A6DE665" w:rsidR="00767A93" w:rsidRPr="00005E25" w:rsidRDefault="00767A93" w:rsidP="00767A93">
      <w:pPr>
        <w:numPr>
          <w:ilvl w:val="0"/>
          <w:numId w:val="4"/>
        </w:numPr>
        <w:shd w:val="clear" w:color="auto" w:fill="FFFFFF"/>
        <w:tabs>
          <w:tab w:val="clear" w:pos="720"/>
          <w:tab w:val="num" w:pos="993"/>
        </w:tabs>
        <w:spacing w:after="0" w:line="240" w:lineRule="auto"/>
        <w:jc w:val="both"/>
        <w:rPr>
          <w:rFonts w:ascii="Bookman Old Style" w:eastAsia="Arial Unicode MS" w:hAnsi="Bookman Old Style" w:cs="Arial Unicode MS"/>
          <w:color w:val="222222"/>
          <w:sz w:val="32"/>
          <w:szCs w:val="32"/>
        </w:rPr>
      </w:pPr>
      <w:r w:rsidRPr="00714D06">
        <w:rPr>
          <w:rFonts w:ascii="Bookman Old Style" w:eastAsia="Arial Unicode MS" w:hAnsi="Bookman Old Style" w:cs="Arial Unicode MS"/>
          <w:b/>
          <w:bCs/>
          <w:color w:val="373737"/>
          <w:sz w:val="32"/>
          <w:szCs w:val="32"/>
          <w:shd w:val="clear" w:color="auto" w:fill="FFFFFF"/>
        </w:rPr>
        <w:t xml:space="preserve">Copia </w:t>
      </w:r>
      <w:r>
        <w:rPr>
          <w:rFonts w:ascii="Bookman Old Style" w:eastAsia="Arial Unicode MS" w:hAnsi="Bookman Old Style" w:cs="Arial Unicode MS"/>
          <w:b/>
          <w:bCs/>
          <w:color w:val="373737"/>
          <w:sz w:val="32"/>
          <w:szCs w:val="32"/>
          <w:shd w:val="clear" w:color="auto" w:fill="FFFFFF"/>
        </w:rPr>
        <w:t>contratti di lavoro a tempo determinato</w:t>
      </w:r>
      <w:r w:rsidR="007D3629">
        <w:rPr>
          <w:rFonts w:ascii="Bookman Old Style" w:eastAsia="Arial Unicode MS" w:hAnsi="Bookman Old Style" w:cs="Arial Unicode MS"/>
          <w:b/>
          <w:bCs/>
          <w:color w:val="373737"/>
          <w:sz w:val="32"/>
          <w:szCs w:val="32"/>
          <w:shd w:val="clear" w:color="auto" w:fill="FFFFFF"/>
        </w:rPr>
        <w:t xml:space="preserve"> </w:t>
      </w:r>
      <w:r w:rsidR="00B521AF">
        <w:rPr>
          <w:rFonts w:ascii="Bookman Old Style" w:eastAsia="Arial Unicode MS" w:hAnsi="Bookman Old Style" w:cs="Arial Unicode MS"/>
          <w:b/>
          <w:bCs/>
          <w:color w:val="373737"/>
          <w:sz w:val="32"/>
          <w:szCs w:val="32"/>
          <w:shd w:val="clear" w:color="auto" w:fill="FFFFFF"/>
        </w:rPr>
        <w:t>fino al 30/06</w:t>
      </w:r>
      <w:r w:rsidR="00D06016">
        <w:rPr>
          <w:rFonts w:ascii="Bookman Old Style" w:eastAsia="Arial Unicode MS" w:hAnsi="Bookman Old Style" w:cs="Arial Unicode MS"/>
          <w:b/>
          <w:bCs/>
          <w:color w:val="373737"/>
          <w:sz w:val="32"/>
          <w:szCs w:val="32"/>
          <w:shd w:val="clear" w:color="auto" w:fill="FFFFFF"/>
        </w:rPr>
        <w:t xml:space="preserve"> o sino al termine delle attività didattiche</w:t>
      </w:r>
      <w:r>
        <w:rPr>
          <w:rFonts w:ascii="Bookman Old Style" w:eastAsia="Arial Unicode MS" w:hAnsi="Bookman Old Style" w:cs="Arial Unicode MS"/>
          <w:color w:val="373737"/>
          <w:sz w:val="32"/>
          <w:szCs w:val="32"/>
          <w:shd w:val="clear" w:color="auto" w:fill="FFFFFF"/>
        </w:rPr>
        <w:t xml:space="preserve">; </w:t>
      </w:r>
    </w:p>
    <w:p w14:paraId="0E69BE4D" w14:textId="42BFA81B" w:rsidR="00767A93" w:rsidRDefault="00767A93" w:rsidP="00767A93">
      <w:pPr>
        <w:jc w:val="both"/>
        <w:rPr>
          <w:rFonts w:ascii="Bookman Old Style" w:eastAsia="Arial Unicode MS" w:hAnsi="Bookman Old Style" w:cs="Arial Unicode MS"/>
          <w:color w:val="000000"/>
          <w:sz w:val="32"/>
          <w:szCs w:val="32"/>
        </w:rPr>
      </w:pPr>
    </w:p>
    <w:p w14:paraId="5D3FCE62" w14:textId="77777777" w:rsidR="00005E25" w:rsidRDefault="00767A93" w:rsidP="00767A93">
      <w:pPr>
        <w:jc w:val="both"/>
        <w:rPr>
          <w:rFonts w:ascii="Bookman Old Style" w:eastAsia="Arial Unicode MS" w:hAnsi="Bookman Old Style" w:cs="Arial Unicode MS"/>
          <w:color w:val="000000"/>
          <w:sz w:val="32"/>
          <w:szCs w:val="32"/>
        </w:rPr>
      </w:pPr>
      <w:r>
        <w:rPr>
          <w:rFonts w:ascii="Bookman Old Style" w:eastAsia="Arial Unicode MS" w:hAnsi="Bookman Old Style" w:cs="Arial Unicode MS"/>
          <w:color w:val="000000"/>
          <w:sz w:val="32"/>
          <w:szCs w:val="32"/>
        </w:rPr>
        <w:t>Si resta a disposizione per ogni eventuale chiarimento si rendesse utile acquisire</w:t>
      </w:r>
      <w:r w:rsidR="00005E25">
        <w:rPr>
          <w:rFonts w:ascii="Bookman Old Style" w:eastAsia="Arial Unicode MS" w:hAnsi="Bookman Old Style" w:cs="Arial Unicode MS"/>
          <w:color w:val="000000"/>
          <w:sz w:val="32"/>
          <w:szCs w:val="32"/>
        </w:rPr>
        <w:t xml:space="preserve"> ai seguenti indirizzi email:</w:t>
      </w:r>
    </w:p>
    <w:p w14:paraId="52E1D1AE" w14:textId="77777777" w:rsidR="00FC26B4" w:rsidRDefault="00FC26B4" w:rsidP="00767A93">
      <w:pPr>
        <w:jc w:val="both"/>
      </w:pPr>
    </w:p>
    <w:bookmarkStart w:id="4" w:name="_Hlk162039475"/>
    <w:p w14:paraId="7B1FFDB1" w14:textId="60314D52" w:rsidR="00FC26B4" w:rsidRDefault="00A90052" w:rsidP="00767A93">
      <w:pPr>
        <w:jc w:val="both"/>
      </w:pPr>
      <w:r>
        <w:fldChar w:fldCharType="begin"/>
      </w:r>
      <w:r>
        <w:instrText>HYPERLINK "mailto:ufficiolegalenazionale@uilscuola.it"</w:instrText>
      </w:r>
      <w:r>
        <w:fldChar w:fldCharType="separate"/>
      </w:r>
      <w:r w:rsidR="00FC26B4" w:rsidRPr="00EA3A17">
        <w:rPr>
          <w:rStyle w:val="Collegamentoipertestuale"/>
        </w:rPr>
        <w:t>ufficiolegalenazionale@uilscuola.it</w:t>
      </w:r>
      <w:r>
        <w:rPr>
          <w:rStyle w:val="Collegamentoipertestuale"/>
        </w:rPr>
        <w:fldChar w:fldCharType="end"/>
      </w:r>
      <w:r w:rsidR="00FC26B4">
        <w:t xml:space="preserve">; </w:t>
      </w:r>
    </w:p>
    <w:bookmarkEnd w:id="4"/>
    <w:p w14:paraId="603B7C95" w14:textId="77777777" w:rsidR="00FC26B4" w:rsidRDefault="00FC26B4" w:rsidP="00767A93">
      <w:pPr>
        <w:jc w:val="both"/>
      </w:pPr>
    </w:p>
    <w:p w14:paraId="7C85B6AE" w14:textId="15545B33" w:rsidR="00767A93" w:rsidRDefault="00767A93" w:rsidP="00767A93">
      <w:pPr>
        <w:jc w:val="both"/>
        <w:rPr>
          <w:rFonts w:ascii="Bookman Old Style" w:hAnsi="Bookman Old Style" w:cs="Arial"/>
          <w:color w:val="000000"/>
          <w:sz w:val="32"/>
          <w:szCs w:val="32"/>
        </w:rPr>
      </w:pPr>
      <w:r>
        <w:rPr>
          <w:rFonts w:ascii="Bookman Old Style" w:eastAsia="Arial Unicode MS" w:hAnsi="Bookman Old Style" w:cs="Arial Unicode MS"/>
          <w:color w:val="000000"/>
          <w:sz w:val="32"/>
          <w:szCs w:val="32"/>
        </w:rPr>
        <w:t>Avv</w:t>
      </w:r>
      <w:r>
        <w:rPr>
          <w:rFonts w:ascii="Bookman Old Style" w:hAnsi="Bookman Old Style" w:cs="Arial"/>
          <w:color w:val="000000"/>
          <w:sz w:val="32"/>
          <w:szCs w:val="32"/>
        </w:rPr>
        <w:t xml:space="preserve">. Domenico Naso      </w:t>
      </w:r>
    </w:p>
    <w:p w14:paraId="30BE1E3C" w14:textId="77777777" w:rsidR="00767A93" w:rsidRDefault="00767A93" w:rsidP="00767A93"/>
    <w:p w14:paraId="446C0D15" w14:textId="77777777" w:rsidR="0045159F" w:rsidRDefault="0045159F"/>
    <w:sectPr w:rsidR="0045159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48EDB" w14:textId="77777777" w:rsidR="00B75BB8" w:rsidRDefault="00B75BB8" w:rsidP="0045159F">
      <w:pPr>
        <w:spacing w:after="0" w:line="240" w:lineRule="auto"/>
      </w:pPr>
      <w:r>
        <w:separator/>
      </w:r>
    </w:p>
  </w:endnote>
  <w:endnote w:type="continuationSeparator" w:id="0">
    <w:p w14:paraId="4422CC6B" w14:textId="77777777" w:rsidR="00B75BB8" w:rsidRDefault="00B75BB8" w:rsidP="00451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Bold">
    <w:altName w:val="Garamon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C95CD" w14:textId="77777777" w:rsidR="00B75BB8" w:rsidRDefault="00B75BB8" w:rsidP="0045159F">
      <w:pPr>
        <w:spacing w:after="0" w:line="240" w:lineRule="auto"/>
      </w:pPr>
      <w:r>
        <w:separator/>
      </w:r>
    </w:p>
  </w:footnote>
  <w:footnote w:type="continuationSeparator" w:id="0">
    <w:p w14:paraId="3EB97567" w14:textId="77777777" w:rsidR="00B75BB8" w:rsidRDefault="00B75BB8" w:rsidP="00451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EAD36" w14:textId="535B6737" w:rsidR="0045159F" w:rsidRPr="0045159F" w:rsidRDefault="0045159F">
    <w:pPr>
      <w:spacing w:line="264" w:lineRule="auto"/>
      <w:rPr>
        <w:rFonts w:ascii="Arial Black" w:hAnsi="Arial Black"/>
        <w:b/>
        <w:bCs/>
        <w:sz w:val="24"/>
        <w:szCs w:val="24"/>
      </w:rPr>
    </w:pPr>
    <w:r w:rsidRPr="0045159F">
      <w:rPr>
        <w:rFonts w:ascii="Arial Black" w:hAnsi="Arial Black"/>
        <w:b/>
        <w:bCs/>
        <w:noProof/>
        <w:color w:val="4472C4" w:themeColor="accent1"/>
        <w:sz w:val="24"/>
        <w:szCs w:val="24"/>
      </w:rPr>
      <mc:AlternateContent>
        <mc:Choice Requires="wps">
          <w:drawing>
            <wp:anchor distT="0" distB="0" distL="114300" distR="114300" simplePos="0" relativeHeight="251659264" behindDoc="0" locked="0" layoutInCell="1" allowOverlap="1" wp14:anchorId="6C27A0A5" wp14:editId="474AC457">
              <wp:simplePos x="0" y="0"/>
              <wp:positionH relativeFrom="page">
                <wp:align>center</wp:align>
              </wp:positionH>
              <wp:positionV relativeFrom="page">
                <wp:align>center</wp:align>
              </wp:positionV>
              <wp:extent cx="7376160" cy="9555480"/>
              <wp:effectExtent l="0" t="0" r="26670" b="26670"/>
              <wp:wrapNone/>
              <wp:docPr id="222" name="Rettangolo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D975554" id="Rettangolo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3l+qAIAALg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EfDJ1qCAxFPkqLN+jqZP9sH1ksdtTHgnnY5/TIXsEq/7gVexC4Tj4ezz7HR8ivRz1J1P&#10;p9PJWWK+OLpb58MXAZrETUUdPlzik21vfcCQaHowidEM3LRKpcdThnRYedOz2TR5eFBtHbXRLtWR&#10;uFKObBlWwGpdJhu10d+gzmfTEX4xRwwxmGfpiIQ6ZfAw8pAzT7uwVyKGUeZRSGQRc80BBqAcg3Eu&#10;TBjn+zWsFn8LnQAjssREBuweIPbGMacDds6gt4+uIpX/4DzK0f/kPHikyGDC4KxbA+49AIVZ9ZGz&#10;/YGkTE1kaQX1HmvMQW4+b/lNi498y3x4YA67DQsDJ0i4x0UqwMeEfkdJA+7ne+fRHpsAtZR02L0V&#10;9T82zAlK1FeD7XE+nkxiuydhMp2VKLjXmtVrjdnoK8DyGOOssjxto31Qh610oF9w0CxjVFQxwzF2&#10;RXlwB+Eq5KmCo4qL5TKZYYtbFm7Nk+URPLIai/h598Kc7Ss9YJPcwaHT2fxNwWfb6GlguQkg29QN&#10;R157vnE8pJrtR1mcP6/lZHUcuItfAAAA//8DAFBLAwQUAAYACAAAACEACwScRN0AAAAHAQAADwAA&#10;AGRycy9kb3ducmV2LnhtbEyPQU/DMAyF70j8h8hI3FhSxKqqNJ0qBgc4gFaYuHqtSSsapzTZVv49&#10;GRe4WM961nufi9VsB3GgyfeONSQLBYK4cW3PRsPb68NVBsIH5BYHx6ThmzysyvOzAvPWHXlDhzoY&#10;EUPY56ihC2HMpfRNRxb9wo3E0ftwk8UQ18nIdsJjDLeDvFYqlRZ7jg0djnTXUfNZ762GdVNV5vHr&#10;fl1n7y9PHs1WPS+3Wl9ezNUtiEBz+DuGE35EhzIy7dyeWy8GDfGR8DtPXpImKYhdVEt1k4EsC/mf&#10;v/wBAAD//wMAUEsBAi0AFAAGAAgAAAAhALaDOJL+AAAA4QEAABMAAAAAAAAAAAAAAAAAAAAAAFtD&#10;b250ZW50X1R5cGVzXS54bWxQSwECLQAUAAYACAAAACEAOP0h/9YAAACUAQAACwAAAAAAAAAAAAAA&#10;AAAvAQAAX3JlbHMvLnJlbHNQSwECLQAUAAYACAAAACEAKoN5fqgCAAC4BQAADgAAAAAAAAAAAAAA&#10;AAAuAgAAZHJzL2Uyb0RvYy54bWxQSwECLQAUAAYACAAAACEACwScRN0AAAAHAQAADwAAAAAAAAAA&#10;AAAAAAACBQAAZHJzL2Rvd25yZXYueG1sUEsFBgAAAAAEAAQA8wAAAAwGAAAAAA==&#10;" filled="f" strokecolor="#747070 [1614]" strokeweight="1.25pt">
              <w10:wrap anchorx="page" anchory="page"/>
            </v:rect>
          </w:pict>
        </mc:Fallback>
      </mc:AlternateContent>
    </w:r>
    <w:r w:rsidRPr="0045159F">
      <w:rPr>
        <w:rFonts w:ascii="Arial Black" w:hAnsi="Arial Black"/>
        <w:b/>
        <w:bCs/>
        <w:color w:val="4472C4" w:themeColor="accent1"/>
        <w:sz w:val="24"/>
        <w:szCs w:val="24"/>
      </w:rPr>
      <w:t xml:space="preserve">LA TUTELA ECONOMICA PER GLI ISCRITTI </w:t>
    </w:r>
  </w:p>
  <w:p w14:paraId="2DE6EA9B" w14:textId="266F9A9D" w:rsidR="0045159F" w:rsidRDefault="000243AF">
    <w:pPr>
      <w:pStyle w:val="Intestazione"/>
    </w:pPr>
    <w:r w:rsidRPr="00285F0E">
      <w:rPr>
        <w:b/>
        <w:noProof/>
        <w:sz w:val="28"/>
        <w:szCs w:val="28"/>
      </w:rPr>
      <w:drawing>
        <wp:inline distT="0" distB="0" distL="0" distR="0" wp14:anchorId="1F20B777" wp14:editId="760B314F">
          <wp:extent cx="2686050" cy="1057275"/>
          <wp:effectExtent l="0" t="0" r="0" b="9525"/>
          <wp:docPr id="1067450913" name="Immagine 1" descr="C:\Users\Utente\Desktop\u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Desktop\u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1057275"/>
                  </a:xfrm>
                  <a:prstGeom prst="rect">
                    <a:avLst/>
                  </a:prstGeom>
                  <a:noFill/>
                  <a:ln>
                    <a:noFill/>
                  </a:ln>
                </pic:spPr>
              </pic:pic>
            </a:graphicData>
          </a:graphic>
        </wp:inline>
      </w:drawing>
    </w:r>
  </w:p>
  <w:p w14:paraId="5C541E45" w14:textId="2AAF551F" w:rsidR="0045159F" w:rsidRDefault="0045159F" w:rsidP="0045159F">
    <w:pPr>
      <w:pStyle w:val="Intestazione"/>
      <w:rPr>
        <w:b/>
      </w:rPr>
    </w:pPr>
    <w:r>
      <w:rPr>
        <w:b/>
      </w:rPr>
      <w:t xml:space="preserve">UFFICIO LEGALE </w:t>
    </w:r>
  </w:p>
  <w:p w14:paraId="4DFFF207" w14:textId="755184AA" w:rsidR="0045159F" w:rsidRDefault="0045159F">
    <w:pPr>
      <w:pStyle w:val="Intestazione"/>
    </w:pPr>
    <w:r>
      <w:t xml:space="preserve">Avv. Domenico Naso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A4D39"/>
    <w:multiLevelType w:val="hybridMultilevel"/>
    <w:tmpl w:val="447EE658"/>
    <w:lvl w:ilvl="0" w:tplc="CC30ECC0">
      <w:start w:val="1"/>
      <w:numFmt w:val="decimal"/>
      <w:lvlText w:val="%1)"/>
      <w:lvlJc w:val="left"/>
      <w:pPr>
        <w:ind w:left="437" w:hanging="720"/>
      </w:pPr>
      <w:rPr>
        <w:rFonts w:hint="default"/>
      </w:rPr>
    </w:lvl>
    <w:lvl w:ilvl="1" w:tplc="04100019" w:tentative="1">
      <w:start w:val="1"/>
      <w:numFmt w:val="lowerLetter"/>
      <w:lvlText w:val="%2."/>
      <w:lvlJc w:val="left"/>
      <w:pPr>
        <w:ind w:left="797" w:hanging="360"/>
      </w:pPr>
    </w:lvl>
    <w:lvl w:ilvl="2" w:tplc="0410001B" w:tentative="1">
      <w:start w:val="1"/>
      <w:numFmt w:val="lowerRoman"/>
      <w:lvlText w:val="%3."/>
      <w:lvlJc w:val="right"/>
      <w:pPr>
        <w:ind w:left="1517" w:hanging="180"/>
      </w:pPr>
    </w:lvl>
    <w:lvl w:ilvl="3" w:tplc="0410000F" w:tentative="1">
      <w:start w:val="1"/>
      <w:numFmt w:val="decimal"/>
      <w:lvlText w:val="%4."/>
      <w:lvlJc w:val="left"/>
      <w:pPr>
        <w:ind w:left="2237" w:hanging="360"/>
      </w:pPr>
    </w:lvl>
    <w:lvl w:ilvl="4" w:tplc="04100019" w:tentative="1">
      <w:start w:val="1"/>
      <w:numFmt w:val="lowerLetter"/>
      <w:lvlText w:val="%5."/>
      <w:lvlJc w:val="left"/>
      <w:pPr>
        <w:ind w:left="2957" w:hanging="360"/>
      </w:pPr>
    </w:lvl>
    <w:lvl w:ilvl="5" w:tplc="0410001B" w:tentative="1">
      <w:start w:val="1"/>
      <w:numFmt w:val="lowerRoman"/>
      <w:lvlText w:val="%6."/>
      <w:lvlJc w:val="right"/>
      <w:pPr>
        <w:ind w:left="3677" w:hanging="180"/>
      </w:pPr>
    </w:lvl>
    <w:lvl w:ilvl="6" w:tplc="0410000F" w:tentative="1">
      <w:start w:val="1"/>
      <w:numFmt w:val="decimal"/>
      <w:lvlText w:val="%7."/>
      <w:lvlJc w:val="left"/>
      <w:pPr>
        <w:ind w:left="4397" w:hanging="360"/>
      </w:pPr>
    </w:lvl>
    <w:lvl w:ilvl="7" w:tplc="04100019" w:tentative="1">
      <w:start w:val="1"/>
      <w:numFmt w:val="lowerLetter"/>
      <w:lvlText w:val="%8."/>
      <w:lvlJc w:val="left"/>
      <w:pPr>
        <w:ind w:left="5117" w:hanging="360"/>
      </w:pPr>
    </w:lvl>
    <w:lvl w:ilvl="8" w:tplc="0410001B" w:tentative="1">
      <w:start w:val="1"/>
      <w:numFmt w:val="lowerRoman"/>
      <w:lvlText w:val="%9."/>
      <w:lvlJc w:val="right"/>
      <w:pPr>
        <w:ind w:left="5837" w:hanging="180"/>
      </w:pPr>
    </w:lvl>
  </w:abstractNum>
  <w:abstractNum w:abstractNumId="1" w15:restartNumberingAfterBreak="0">
    <w:nsid w:val="119C47FA"/>
    <w:multiLevelType w:val="hybridMultilevel"/>
    <w:tmpl w:val="0EE60772"/>
    <w:lvl w:ilvl="0" w:tplc="0410000B">
      <w:start w:val="1"/>
      <w:numFmt w:val="bullet"/>
      <w:lvlText w:val=""/>
      <w:lvlJc w:val="left"/>
      <w:pPr>
        <w:ind w:left="-56" w:hanging="360"/>
      </w:pPr>
      <w:rPr>
        <w:rFonts w:ascii="Wingdings" w:hAnsi="Wingdings" w:hint="default"/>
      </w:rPr>
    </w:lvl>
    <w:lvl w:ilvl="1" w:tplc="04100003" w:tentative="1">
      <w:start w:val="1"/>
      <w:numFmt w:val="bullet"/>
      <w:lvlText w:val="o"/>
      <w:lvlJc w:val="left"/>
      <w:pPr>
        <w:ind w:left="1232" w:hanging="360"/>
      </w:pPr>
      <w:rPr>
        <w:rFonts w:ascii="Courier New" w:hAnsi="Courier New" w:cs="Courier New" w:hint="default"/>
      </w:rPr>
    </w:lvl>
    <w:lvl w:ilvl="2" w:tplc="04100005" w:tentative="1">
      <w:start w:val="1"/>
      <w:numFmt w:val="bullet"/>
      <w:lvlText w:val=""/>
      <w:lvlJc w:val="left"/>
      <w:pPr>
        <w:ind w:left="1952" w:hanging="360"/>
      </w:pPr>
      <w:rPr>
        <w:rFonts w:ascii="Wingdings" w:hAnsi="Wingdings" w:hint="default"/>
      </w:rPr>
    </w:lvl>
    <w:lvl w:ilvl="3" w:tplc="04100001" w:tentative="1">
      <w:start w:val="1"/>
      <w:numFmt w:val="bullet"/>
      <w:lvlText w:val=""/>
      <w:lvlJc w:val="left"/>
      <w:pPr>
        <w:ind w:left="2672" w:hanging="360"/>
      </w:pPr>
      <w:rPr>
        <w:rFonts w:ascii="Symbol" w:hAnsi="Symbol" w:hint="default"/>
      </w:rPr>
    </w:lvl>
    <w:lvl w:ilvl="4" w:tplc="04100003" w:tentative="1">
      <w:start w:val="1"/>
      <w:numFmt w:val="bullet"/>
      <w:lvlText w:val="o"/>
      <w:lvlJc w:val="left"/>
      <w:pPr>
        <w:ind w:left="3392" w:hanging="360"/>
      </w:pPr>
      <w:rPr>
        <w:rFonts w:ascii="Courier New" w:hAnsi="Courier New" w:cs="Courier New" w:hint="default"/>
      </w:rPr>
    </w:lvl>
    <w:lvl w:ilvl="5" w:tplc="04100005" w:tentative="1">
      <w:start w:val="1"/>
      <w:numFmt w:val="bullet"/>
      <w:lvlText w:val=""/>
      <w:lvlJc w:val="left"/>
      <w:pPr>
        <w:ind w:left="4112" w:hanging="360"/>
      </w:pPr>
      <w:rPr>
        <w:rFonts w:ascii="Wingdings" w:hAnsi="Wingdings" w:hint="default"/>
      </w:rPr>
    </w:lvl>
    <w:lvl w:ilvl="6" w:tplc="04100001" w:tentative="1">
      <w:start w:val="1"/>
      <w:numFmt w:val="bullet"/>
      <w:lvlText w:val=""/>
      <w:lvlJc w:val="left"/>
      <w:pPr>
        <w:ind w:left="4832" w:hanging="360"/>
      </w:pPr>
      <w:rPr>
        <w:rFonts w:ascii="Symbol" w:hAnsi="Symbol" w:hint="default"/>
      </w:rPr>
    </w:lvl>
    <w:lvl w:ilvl="7" w:tplc="04100003" w:tentative="1">
      <w:start w:val="1"/>
      <w:numFmt w:val="bullet"/>
      <w:lvlText w:val="o"/>
      <w:lvlJc w:val="left"/>
      <w:pPr>
        <w:ind w:left="5552" w:hanging="360"/>
      </w:pPr>
      <w:rPr>
        <w:rFonts w:ascii="Courier New" w:hAnsi="Courier New" w:cs="Courier New" w:hint="default"/>
      </w:rPr>
    </w:lvl>
    <w:lvl w:ilvl="8" w:tplc="04100005" w:tentative="1">
      <w:start w:val="1"/>
      <w:numFmt w:val="bullet"/>
      <w:lvlText w:val=""/>
      <w:lvlJc w:val="left"/>
      <w:pPr>
        <w:ind w:left="6272" w:hanging="360"/>
      </w:pPr>
      <w:rPr>
        <w:rFonts w:ascii="Wingdings" w:hAnsi="Wingdings" w:hint="default"/>
      </w:rPr>
    </w:lvl>
  </w:abstractNum>
  <w:abstractNum w:abstractNumId="2" w15:restartNumberingAfterBreak="0">
    <w:nsid w:val="33E228A3"/>
    <w:multiLevelType w:val="multilevel"/>
    <w:tmpl w:val="513A91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F179B6"/>
    <w:multiLevelType w:val="hybridMultilevel"/>
    <w:tmpl w:val="155E06B4"/>
    <w:lvl w:ilvl="0" w:tplc="0410000F">
      <w:start w:val="1"/>
      <w:numFmt w:val="decimal"/>
      <w:lvlText w:val="%1."/>
      <w:lvlJc w:val="left"/>
      <w:pPr>
        <w:ind w:left="1724" w:hanging="360"/>
      </w:p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4" w15:restartNumberingAfterBreak="0">
    <w:nsid w:val="60975C4E"/>
    <w:multiLevelType w:val="hybridMultilevel"/>
    <w:tmpl w:val="1A14B4CC"/>
    <w:lvl w:ilvl="0" w:tplc="B926658A">
      <w:start w:val="1"/>
      <w:numFmt w:val="decimal"/>
      <w:lvlText w:val="%1)"/>
      <w:lvlJc w:val="left"/>
      <w:pPr>
        <w:tabs>
          <w:tab w:val="num" w:pos="720"/>
        </w:tabs>
        <w:ind w:left="720" w:hanging="360"/>
      </w:pPr>
      <w:rPr>
        <w:rFonts w:ascii="Century Schoolbook" w:hAnsi="Century Schoolbook" w:cs="Times New Roman" w:hint="default"/>
        <w:color w:val="373737"/>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25F115B"/>
    <w:multiLevelType w:val="hybridMultilevel"/>
    <w:tmpl w:val="62FCC4FE"/>
    <w:lvl w:ilvl="0" w:tplc="0848F974">
      <w:start w:val="1"/>
      <w:numFmt w:val="lowerLetter"/>
      <w:lvlText w:val="%1)"/>
      <w:lvlJc w:val="left"/>
      <w:pPr>
        <w:ind w:left="1080" w:hanging="360"/>
      </w:pPr>
      <w:rPr>
        <w:rFonts w:ascii="Century Schoolbook" w:hAnsi="Century Schoolbook" w:cs="Times New Roman" w:hint="default"/>
        <w:color w:val="373737"/>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223876558">
    <w:abstractNumId w:val="1"/>
  </w:num>
  <w:num w:numId="2" w16cid:durableId="1822624210">
    <w:abstractNumId w:val="0"/>
  </w:num>
  <w:num w:numId="3" w16cid:durableId="637028695">
    <w:abstractNumId w:val="3"/>
  </w:num>
  <w:num w:numId="4" w16cid:durableId="1375502219">
    <w:abstractNumId w:val="4"/>
  </w:num>
  <w:num w:numId="5" w16cid:durableId="871648284">
    <w:abstractNumId w:val="5"/>
  </w:num>
  <w:num w:numId="6" w16cid:durableId="1117720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59F"/>
    <w:rsid w:val="00005E25"/>
    <w:rsid w:val="000243AF"/>
    <w:rsid w:val="0017573D"/>
    <w:rsid w:val="002C3A9C"/>
    <w:rsid w:val="0037068A"/>
    <w:rsid w:val="003F2ED8"/>
    <w:rsid w:val="004228FF"/>
    <w:rsid w:val="0045159F"/>
    <w:rsid w:val="00510070"/>
    <w:rsid w:val="0061281A"/>
    <w:rsid w:val="00625327"/>
    <w:rsid w:val="00687791"/>
    <w:rsid w:val="00767A93"/>
    <w:rsid w:val="00792B4B"/>
    <w:rsid w:val="007D3629"/>
    <w:rsid w:val="007F102E"/>
    <w:rsid w:val="00860418"/>
    <w:rsid w:val="00893FBC"/>
    <w:rsid w:val="00956651"/>
    <w:rsid w:val="00A058C6"/>
    <w:rsid w:val="00A26E4E"/>
    <w:rsid w:val="00A8529F"/>
    <w:rsid w:val="00A90052"/>
    <w:rsid w:val="00B46818"/>
    <w:rsid w:val="00B521AF"/>
    <w:rsid w:val="00B75BB8"/>
    <w:rsid w:val="00D06016"/>
    <w:rsid w:val="00D55C06"/>
    <w:rsid w:val="00D9512A"/>
    <w:rsid w:val="00ED4F2F"/>
    <w:rsid w:val="00FC1B68"/>
    <w:rsid w:val="00FC26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5F3D4"/>
  <w15:chartTrackingRefBased/>
  <w15:docId w15:val="{66CCE51F-FE32-4D21-9A4E-898089C5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5159F"/>
    <w:pPr>
      <w:tabs>
        <w:tab w:val="center" w:pos="4819"/>
        <w:tab w:val="right" w:pos="9638"/>
      </w:tabs>
      <w:autoSpaceDE w:val="0"/>
      <w:autoSpaceDN w:val="0"/>
      <w:adjustRightInd w:val="0"/>
      <w:spacing w:after="0" w:line="360" w:lineRule="auto"/>
      <w:ind w:left="-567" w:right="-567" w:firstLine="284"/>
      <w:jc w:val="both"/>
    </w:pPr>
    <w:rPr>
      <w:rFonts w:ascii="Garamond" w:eastAsia="Times New Roman" w:hAnsi="Garamond" w:cs="Times New Roman"/>
      <w:sz w:val="32"/>
      <w:szCs w:val="32"/>
      <w:lang w:eastAsia="it-IT"/>
    </w:rPr>
  </w:style>
  <w:style w:type="character" w:customStyle="1" w:styleId="IntestazioneCarattere">
    <w:name w:val="Intestazione Carattere"/>
    <w:basedOn w:val="Carpredefinitoparagrafo"/>
    <w:link w:val="Intestazione"/>
    <w:uiPriority w:val="99"/>
    <w:rsid w:val="0045159F"/>
    <w:rPr>
      <w:rFonts w:ascii="Garamond" w:eastAsia="Times New Roman" w:hAnsi="Garamond" w:cs="Times New Roman"/>
      <w:sz w:val="32"/>
      <w:szCs w:val="32"/>
      <w:lang w:eastAsia="it-IT"/>
    </w:rPr>
  </w:style>
  <w:style w:type="character" w:styleId="Enfasigrassetto">
    <w:name w:val="Strong"/>
    <w:basedOn w:val="Carpredefinitoparagrafo"/>
    <w:uiPriority w:val="22"/>
    <w:qFormat/>
    <w:rsid w:val="0045159F"/>
    <w:rPr>
      <w:b/>
      <w:bCs/>
    </w:rPr>
  </w:style>
  <w:style w:type="paragraph" w:styleId="Paragrafoelenco">
    <w:name w:val="List Paragraph"/>
    <w:basedOn w:val="Normale"/>
    <w:uiPriority w:val="34"/>
    <w:qFormat/>
    <w:rsid w:val="0045159F"/>
    <w:pPr>
      <w:autoSpaceDE w:val="0"/>
      <w:autoSpaceDN w:val="0"/>
      <w:adjustRightInd w:val="0"/>
      <w:spacing w:after="0" w:line="360" w:lineRule="auto"/>
      <w:ind w:left="720" w:right="-567" w:firstLine="284"/>
      <w:contextualSpacing/>
      <w:jc w:val="both"/>
    </w:pPr>
    <w:rPr>
      <w:rFonts w:ascii="Garamond" w:eastAsia="Times New Roman" w:hAnsi="Garamond" w:cs="Times New Roman"/>
      <w:sz w:val="32"/>
      <w:szCs w:val="32"/>
      <w:lang w:eastAsia="it-IT"/>
    </w:rPr>
  </w:style>
  <w:style w:type="character" w:styleId="Collegamentoipertestuale">
    <w:name w:val="Hyperlink"/>
    <w:rsid w:val="0045159F"/>
    <w:rPr>
      <w:color w:val="0000FF"/>
      <w:u w:val="single"/>
    </w:rPr>
  </w:style>
  <w:style w:type="paragraph" w:styleId="NormaleWeb">
    <w:name w:val="Normal (Web)"/>
    <w:basedOn w:val="Normale"/>
    <w:uiPriority w:val="99"/>
    <w:rsid w:val="0045159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essunaspaziatura1">
    <w:name w:val="Nessuna spaziatura1"/>
    <w:rsid w:val="0045159F"/>
    <w:pPr>
      <w:widowControl w:val="0"/>
      <w:suppressAutoHyphens/>
      <w:spacing w:after="0" w:line="240" w:lineRule="auto"/>
    </w:pPr>
    <w:rPr>
      <w:rFonts w:ascii="Times New Roman" w:eastAsia="Arial Unicode MS" w:hAnsi="Times New Roman" w:cs="Arial Unicode MS"/>
      <w:kern w:val="2"/>
      <w:sz w:val="24"/>
      <w:szCs w:val="24"/>
      <w:lang w:eastAsia="hi-IN" w:bidi="hi-IN"/>
    </w:rPr>
  </w:style>
  <w:style w:type="paragraph" w:styleId="Pidipagina">
    <w:name w:val="footer"/>
    <w:basedOn w:val="Normale"/>
    <w:link w:val="PidipaginaCarattere"/>
    <w:uiPriority w:val="99"/>
    <w:unhideWhenUsed/>
    <w:rsid w:val="0045159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159F"/>
  </w:style>
  <w:style w:type="character" w:styleId="Menzionenonrisolta">
    <w:name w:val="Unresolved Mention"/>
    <w:basedOn w:val="Carpredefinitoparagrafo"/>
    <w:uiPriority w:val="99"/>
    <w:semiHidden/>
    <w:unhideWhenUsed/>
    <w:rsid w:val="00005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591972">
      <w:bodyDiv w:val="1"/>
      <w:marLeft w:val="0"/>
      <w:marRight w:val="0"/>
      <w:marTop w:val="0"/>
      <w:marBottom w:val="0"/>
      <w:divBdr>
        <w:top w:val="none" w:sz="0" w:space="0" w:color="auto"/>
        <w:left w:val="none" w:sz="0" w:space="0" w:color="auto"/>
        <w:bottom w:val="none" w:sz="0" w:space="0" w:color="auto"/>
        <w:right w:val="none" w:sz="0" w:space="0" w:color="auto"/>
      </w:divBdr>
    </w:div>
    <w:div w:id="149240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491</Words>
  <Characters>2805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dnaso</dc:creator>
  <cp:keywords/>
  <dc:description/>
  <cp:lastModifiedBy>Pasquale Raimondo</cp:lastModifiedBy>
  <cp:revision>2</cp:revision>
  <dcterms:created xsi:type="dcterms:W3CDTF">2024-03-22T21:49:00Z</dcterms:created>
  <dcterms:modified xsi:type="dcterms:W3CDTF">2024-03-22T21:49:00Z</dcterms:modified>
</cp:coreProperties>
</file>